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
        <w:spacing w:lineRule="auto" w:line="276" w:before="0" w:after="0"/>
        <w:jc w:val="center"/>
        <w:rPr>
          <w:rFonts w:ascii="Calibri" w:hAnsi="Calibri"/>
          <w:b/>
          <w:b/>
          <w:color w:val="00000A"/>
        </w:rPr>
      </w:pPr>
      <w:bookmarkStart w:id="0" w:name="_GoBack"/>
      <w:bookmarkEnd w:id="0"/>
      <w:r>
        <w:rPr>
          <w:rFonts w:ascii="Calibri" w:hAnsi="Calibri"/>
          <w:b/>
          <w:color w:val="00000A"/>
        </w:rPr>
        <w:t>ΣΧΕΔΙΟ ΝΟΜΟΥ</w:t>
      </w:r>
    </w:p>
    <w:p>
      <w:pPr>
        <w:pStyle w:val="A"/>
        <w:spacing w:lineRule="auto" w:line="276" w:before="0" w:after="0"/>
        <w:jc w:val="center"/>
        <w:rPr>
          <w:rFonts w:ascii="Calibri" w:hAnsi="Calibri"/>
          <w:b/>
          <w:b/>
          <w:color w:val="00000A"/>
        </w:rPr>
      </w:pPr>
      <w:r>
        <w:rPr>
          <w:rFonts w:ascii="Calibri" w:hAnsi="Calibri"/>
          <w:b/>
          <w:color w:val="00000A"/>
        </w:rPr>
      </w:r>
    </w:p>
    <w:p>
      <w:pPr>
        <w:pStyle w:val="A"/>
        <w:spacing w:lineRule="auto" w:line="276" w:before="0" w:after="0"/>
        <w:jc w:val="center"/>
        <w:rPr>
          <w:rFonts w:ascii="Calibri" w:hAnsi="Calibri"/>
          <w:b/>
          <w:b/>
          <w:color w:val="00000A"/>
        </w:rPr>
      </w:pPr>
      <w:r>
        <w:rPr>
          <w:rFonts w:ascii="Calibri" w:hAnsi="Calibri"/>
          <w:b/>
          <w:color w:val="00000A"/>
        </w:rPr>
      </w:r>
    </w:p>
    <w:p>
      <w:pPr>
        <w:pStyle w:val="A"/>
        <w:spacing w:lineRule="auto" w:line="276" w:before="0" w:after="0"/>
        <w:jc w:val="center"/>
        <w:rPr>
          <w:rFonts w:ascii="Calibri" w:hAnsi="Calibri"/>
          <w:b/>
          <w:b/>
          <w:color w:val="00000A"/>
        </w:rPr>
      </w:pPr>
      <w:r>
        <w:rPr>
          <w:rFonts w:ascii="Calibri" w:hAnsi="Calibri"/>
          <w:b/>
          <w:color w:val="00000A"/>
        </w:rPr>
        <w:t xml:space="preserve"> </w:t>
      </w:r>
      <w:r>
        <w:rPr>
          <w:rFonts w:ascii="Calibri" w:hAnsi="Calibri"/>
          <w:b/>
          <w:color w:val="00000A"/>
        </w:rPr>
        <w:t>με τίτλο</w:t>
      </w:r>
    </w:p>
    <w:p>
      <w:pPr>
        <w:pStyle w:val="A"/>
        <w:spacing w:lineRule="auto" w:line="276" w:before="0" w:after="0"/>
        <w:jc w:val="center"/>
        <w:rPr>
          <w:rFonts w:ascii="Calibri" w:hAnsi="Calibri"/>
          <w:b/>
          <w:b/>
          <w:color w:val="00000A"/>
        </w:rPr>
      </w:pPr>
      <w:r>
        <w:rPr>
          <w:rFonts w:ascii="Calibri" w:hAnsi="Calibri"/>
          <w:b/>
          <w:color w:val="00000A"/>
        </w:rPr>
      </w:r>
    </w:p>
    <w:p>
      <w:pPr>
        <w:pStyle w:val="A"/>
        <w:spacing w:lineRule="auto" w:line="276" w:before="0" w:after="0"/>
        <w:jc w:val="center"/>
        <w:rPr>
          <w:rFonts w:ascii="Calibri" w:hAnsi="Calibri" w:eastAsia="Calibri" w:cs="Calibri"/>
          <w:b/>
          <w:b/>
          <w:bCs/>
          <w:color w:val="00000A"/>
        </w:rPr>
      </w:pPr>
      <w:r>
        <w:rPr>
          <w:rFonts w:eastAsia="Calibri" w:cs="Calibri" w:ascii="Calibri" w:hAnsi="Calibri"/>
          <w:b/>
          <w:bCs/>
          <w:color w:val="00000A"/>
        </w:rPr>
      </w:r>
    </w:p>
    <w:p>
      <w:pPr>
        <w:pStyle w:val="A"/>
        <w:spacing w:lineRule="auto" w:line="276" w:before="0" w:after="0"/>
        <w:jc w:val="center"/>
        <w:rPr>
          <w:rFonts w:ascii="Calibri" w:hAnsi="Calibri" w:eastAsia="Calibri" w:cs="Calibri"/>
          <w:b/>
          <w:b/>
          <w:bCs/>
          <w:color w:val="00000A"/>
          <w:sz w:val="28"/>
          <w:szCs w:val="28"/>
        </w:rPr>
      </w:pPr>
      <w:r>
        <w:rPr>
          <w:rFonts w:ascii="Calibri" w:hAnsi="Calibri"/>
          <w:b/>
          <w:bCs/>
          <w:color w:val="00000A"/>
          <w:sz w:val="28"/>
          <w:szCs w:val="28"/>
        </w:rPr>
        <w:t>«Μεταρρυθμίσεις αναφορικά με τις σχέσεις γονέων-τέκνων»</w:t>
      </w:r>
    </w:p>
    <w:p>
      <w:pPr>
        <w:pStyle w:val="A"/>
        <w:spacing w:lineRule="auto" w:line="276" w:before="0" w:after="0"/>
        <w:jc w:val="center"/>
        <w:rPr>
          <w:rFonts w:ascii="Calibri" w:hAnsi="Calibri" w:eastAsia="Calibri" w:cs="Calibri"/>
          <w:b/>
          <w:b/>
          <w:bCs/>
          <w:color w:val="00000A"/>
        </w:rPr>
      </w:pPr>
      <w:r>
        <w:rPr>
          <w:rFonts w:ascii="Calibri" w:hAnsi="Calibri"/>
          <w:b/>
          <w:bCs/>
          <w:color w:val="00000A"/>
        </w:rPr>
        <w:br/>
      </w:r>
      <w:r>
        <w:rPr>
          <w:rFonts w:eastAsia="Calibri" w:cs="Calibri" w:ascii="Calibri" w:hAnsi="Calibri"/>
          <w:b/>
          <w:bCs/>
          <w:color w:val="00000A"/>
        </w:rPr>
        <w:t xml:space="preserve"> </w:t>
      </w:r>
    </w:p>
    <w:p>
      <w:pPr>
        <w:pStyle w:val="A"/>
        <w:spacing w:lineRule="auto" w:line="276" w:before="0" w:after="0"/>
        <w:jc w:val="center"/>
        <w:rPr>
          <w:rFonts w:ascii="Calibri" w:hAnsi="Calibri" w:eastAsia="Calibri" w:cs="Calibri"/>
          <w:b/>
          <w:b/>
          <w:bCs/>
          <w:color w:val="00000A"/>
        </w:rPr>
      </w:pPr>
      <w:r>
        <w:rPr>
          <w:rFonts w:eastAsia="Calibri" w:cs="Calibri" w:ascii="Calibri" w:hAnsi="Calibri"/>
          <w:b/>
          <w:bCs/>
          <w:color w:val="00000A"/>
        </w:rPr>
      </w:r>
    </w:p>
    <w:p>
      <w:pPr>
        <w:pStyle w:val="A"/>
        <w:spacing w:lineRule="auto" w:line="276" w:before="0" w:after="0"/>
        <w:jc w:val="center"/>
        <w:rPr>
          <w:rFonts w:ascii="Calibri" w:hAnsi="Calibri"/>
          <w:b/>
          <w:b/>
          <w:color w:val="00000A"/>
        </w:rPr>
      </w:pPr>
      <w:r>
        <w:rPr>
          <w:rFonts w:ascii="Calibri" w:hAnsi="Calibri"/>
          <w:b/>
          <w:color w:val="00000A"/>
        </w:rPr>
        <w:t>ΕΠΙΣΠΕΥΔΟΝ ΥΠΟΥΡΓΕΙΟ: ΔΙΚΑΙΟΣΥΝΗΣ</w:t>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color w:val="00000A"/>
        </w:rPr>
      </w:pPr>
      <w:r>
        <w:rPr>
          <w:color w:val="00000A"/>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t>ΠΙΝΑΚΑΣ ΠΕΡΙΕΧΟΜΕΝΩΝ</w:t>
      </w:r>
    </w:p>
    <w:p>
      <w:pPr>
        <w:pStyle w:val="A"/>
        <w:spacing w:lineRule="auto" w:line="276" w:before="0" w:after="0"/>
        <w:rPr>
          <w:rFonts w:ascii="Calibri" w:hAnsi="Calibri"/>
          <w:b/>
          <w:b/>
          <w:color w:val="00000A"/>
          <w:sz w:val="22"/>
          <w:szCs w:val="22"/>
        </w:rPr>
      </w:pPr>
      <w:r>
        <w:rPr>
          <w:rFonts w:ascii="Calibri" w:hAnsi="Calibri"/>
          <w:b/>
          <w:color w:val="00000A"/>
          <w:sz w:val="22"/>
          <w:szCs w:val="22"/>
        </w:rPr>
      </w:r>
    </w:p>
    <w:p>
      <w:pPr>
        <w:pStyle w:val="A"/>
        <w:spacing w:lineRule="auto" w:line="276" w:before="0" w:after="0"/>
        <w:rPr>
          <w:rFonts w:ascii="Calibri" w:hAnsi="Calibri" w:eastAsia="Calibri" w:cs="Calibri"/>
          <w:bCs/>
          <w:color w:val="00000A"/>
          <w:sz w:val="22"/>
          <w:szCs w:val="22"/>
        </w:rPr>
      </w:pPr>
      <w:r>
        <w:rPr>
          <w:rFonts w:ascii="Calibri" w:hAnsi="Calibri"/>
          <w:b/>
          <w:bCs/>
          <w:color w:val="00000A"/>
          <w:sz w:val="22"/>
          <w:szCs w:val="22"/>
        </w:rPr>
        <w:t>ΚΕΦΑΛΑΙΟ Α΄</w:t>
      </w:r>
      <w:r>
        <w:rPr>
          <w:rFonts w:ascii="Calibri" w:hAnsi="Calibri"/>
          <w:bCs/>
          <w:color w:val="00000A"/>
          <w:sz w:val="22"/>
          <w:szCs w:val="22"/>
        </w:rPr>
        <w:t>.....................................................................................................................................................</w:t>
      </w:r>
      <w:r>
        <w:rPr>
          <w:rFonts w:ascii="Calibri" w:hAnsi="Calibri"/>
          <w:b/>
          <w:bCs/>
          <w:color w:val="00000A"/>
          <w:sz w:val="22"/>
          <w:szCs w:val="22"/>
        </w:rPr>
        <w:t xml:space="preserve"> </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ΑΝΤΙΚΕΙΜΕΝΟ ΚΑΙ ΣΚΟΠΟΣ…………………………………………………………………………………………………………………………….</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Αντικείμενο…………………………………………………………………………………………………………………………………………………….</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2………………………………………………………………………………………………………………………………………………………….</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Σκοπός……………………………………………………………………………………………………………………………………………………………</w:t>
      </w:r>
    </w:p>
    <w:p>
      <w:pPr>
        <w:pStyle w:val="A"/>
        <w:spacing w:lineRule="auto" w:line="276" w:before="0" w:after="0"/>
        <w:rPr>
          <w:rFonts w:ascii="Calibri" w:hAnsi="Calibri" w:eastAsia="Calibri" w:cs="Calibri"/>
          <w:bCs/>
          <w:color w:val="00000A"/>
          <w:sz w:val="22"/>
          <w:szCs w:val="22"/>
        </w:rPr>
      </w:pPr>
      <w:r>
        <w:rPr>
          <w:rFonts w:ascii="Calibri" w:hAnsi="Calibri"/>
          <w:b/>
          <w:bCs/>
          <w:color w:val="00000A"/>
          <w:sz w:val="22"/>
          <w:szCs w:val="22"/>
        </w:rPr>
        <w:t>ΚΕΦΑΛΑΙΟ Β΄</w:t>
      </w:r>
      <w:r>
        <w:rPr>
          <w:rFonts w:ascii="Calibri" w:hAnsi="Calibri"/>
          <w:bCs/>
          <w:color w:val="00000A"/>
          <w:sz w:val="22"/>
          <w:szCs w:val="22"/>
        </w:rPr>
        <w:t>.....................................................................................................................................................</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ΤΡΟΠΟΠΟΙΗΣΕΙΣ ΑΣΤΙΚΟΥ ΚΩΔΙΚΑ</w:t>
      </w:r>
      <w:r>
        <w:rPr>
          <w:rFonts w:ascii="Calibri" w:hAnsi="Calibri"/>
          <w:bCs/>
          <w:color w:val="00000A"/>
          <w:sz w:val="22"/>
          <w:szCs w:val="22"/>
          <w:lang w:val="ru-RU"/>
        </w:rPr>
        <w:t xml:space="preserve"> - </w:t>
      </w:r>
      <w:r>
        <w:rPr>
          <w:rFonts w:ascii="Calibri" w:hAnsi="Calibri"/>
          <w:bCs/>
          <w:color w:val="00000A"/>
          <w:sz w:val="22"/>
          <w:szCs w:val="22"/>
        </w:rPr>
        <w:t>ΚΑΤΟΙΚΙΑ, ΣΧΕΣΕΙΣ ΓΟΝΕΩΝ ΚΑΙ ΤΕΚΝΩΝ………………………………………………</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3………………………………………………………………………………………………………………………………………………………….</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 xml:space="preserve">Κατοικία ανηλίκου </w:t>
      </w:r>
      <w:r>
        <w:rPr>
          <w:rFonts w:ascii="Calibri" w:hAnsi="Calibri"/>
          <w:bCs/>
          <w:color w:val="00000A"/>
          <w:sz w:val="22"/>
          <w:szCs w:val="22"/>
          <w:lang w:val="ru-RU"/>
        </w:rPr>
        <w:t xml:space="preserve">- </w:t>
      </w:r>
      <w:r>
        <w:rPr>
          <w:rFonts w:ascii="Calibri" w:hAnsi="Calibri"/>
          <w:bCs/>
          <w:color w:val="00000A"/>
          <w:sz w:val="22"/>
          <w:szCs w:val="22"/>
        </w:rPr>
        <w:t>Τροποποίηση άρθρου 56 ΑΚ………………………………………………………………………………………….</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4………………………………………………………………………………………………………………………………………………………….</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 xml:space="preserve">Συναινετικό διαζύγιο </w:t>
      </w:r>
      <w:r>
        <w:rPr>
          <w:rFonts w:ascii="Calibri" w:hAnsi="Calibri"/>
          <w:bCs/>
          <w:color w:val="00000A"/>
          <w:sz w:val="22"/>
          <w:szCs w:val="22"/>
          <w:lang w:val="ru-RU"/>
        </w:rPr>
        <w:t xml:space="preserve">- </w:t>
      </w:r>
      <w:r>
        <w:rPr>
          <w:rFonts w:ascii="Calibri" w:hAnsi="Calibri"/>
          <w:bCs/>
          <w:color w:val="00000A"/>
          <w:sz w:val="22"/>
          <w:szCs w:val="22"/>
        </w:rPr>
        <w:t xml:space="preserve">Αντικατάσταση άρθρου </w:t>
      </w:r>
      <w:r>
        <w:rPr>
          <w:rFonts w:ascii="Calibri" w:hAnsi="Calibri"/>
          <w:bCs/>
          <w:color w:val="00000A"/>
          <w:sz w:val="22"/>
          <w:szCs w:val="22"/>
          <w:lang w:val="ru-RU"/>
        </w:rPr>
        <w:t xml:space="preserve">1441 </w:t>
      </w:r>
      <w:r>
        <w:rPr>
          <w:rFonts w:ascii="Calibri" w:hAnsi="Calibri"/>
          <w:bCs/>
          <w:color w:val="00000A"/>
          <w:sz w:val="22"/>
          <w:szCs w:val="22"/>
        </w:rPr>
        <w:t>ΑΚ……………………………………………………………………………….</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5………………………………………………………………………………………………………………………………………………………….</w:t>
      </w:r>
    </w:p>
    <w:p>
      <w:pPr>
        <w:pStyle w:val="A"/>
        <w:spacing w:lineRule="auto" w:line="276" w:before="0" w:after="0"/>
        <w:rPr>
          <w:rFonts w:ascii="Calibri" w:hAnsi="Calibri" w:eastAsia="Calibri" w:cs="Calibri"/>
          <w:bCs/>
          <w:color w:val="00000A"/>
          <w:sz w:val="22"/>
          <w:szCs w:val="22"/>
        </w:rPr>
      </w:pPr>
      <w:r>
        <w:rPr>
          <w:rFonts w:ascii="Calibri" w:hAnsi="Calibri"/>
          <w:bCs/>
          <w:color w:val="00000A"/>
          <w:sz w:val="22"/>
          <w:szCs w:val="22"/>
        </w:rPr>
        <w:t xml:space="preserve">Συμφέρον τέκνου </w:t>
      </w:r>
      <w:r>
        <w:rPr>
          <w:rFonts w:ascii="Calibri" w:hAnsi="Calibri"/>
          <w:bCs/>
          <w:color w:val="00000A"/>
          <w:sz w:val="22"/>
          <w:szCs w:val="22"/>
          <w:lang w:val="ru-RU"/>
        </w:rPr>
        <w:t xml:space="preserve">- </w:t>
      </w:r>
      <w:r>
        <w:rPr>
          <w:rFonts w:ascii="Calibri" w:hAnsi="Calibri"/>
          <w:bCs/>
          <w:color w:val="00000A"/>
          <w:sz w:val="22"/>
          <w:szCs w:val="22"/>
        </w:rPr>
        <w:t>Τροποποίηση άρθρου 1511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6………………………………………………………………………………………………………………………………………………………….</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Διαμεσολάβηση – Αντικατάσταση άρθρου 1512 ΑΚ ……………………………………………………………………………………..</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 xml:space="preserve">Άρθρο </w:t>
      </w:r>
      <w:r>
        <w:rPr>
          <w:rFonts w:ascii="Calibri" w:hAnsi="Calibri"/>
          <w:bCs/>
          <w:color w:val="00000A"/>
          <w:sz w:val="22"/>
          <w:szCs w:val="22"/>
          <w:lang w:val="ru-RU"/>
        </w:rPr>
        <w:t>7</w:t>
      </w:r>
      <w:r>
        <w:rPr>
          <w:rFonts w:ascii="Calibri" w:hAnsi="Calibri"/>
          <w:bCs/>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Από κοινού άσκηση της γονικής μέριμνας σε περίπτωση διαζυγίου ή ακύρωσης του γάμου</w:t>
      </w:r>
      <w:r>
        <w:rPr>
          <w:rFonts w:ascii="Calibri" w:hAnsi="Calibri"/>
          <w:bCs/>
          <w:color w:val="00000A"/>
          <w:sz w:val="22"/>
          <w:szCs w:val="22"/>
          <w:lang w:val="ru-RU"/>
        </w:rPr>
        <w:t xml:space="preserve">- </w:t>
      </w:r>
      <w:r>
        <w:rPr>
          <w:rFonts w:ascii="Calibri" w:hAnsi="Calibri"/>
          <w:bCs/>
          <w:color w:val="00000A"/>
          <w:sz w:val="22"/>
          <w:szCs w:val="22"/>
        </w:rPr>
        <w:t>και διάστασης των συζύγων– Αντικατάσταση τίτλου και άρθρου 1513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8………………………………………………………………………………………………………………………………………………………….</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Παρέκκλιση από την από κοινού άσκηση της γονικής μέριμνας– Αντικατάσταση άρθρου 1514 ΑΚ……………..</w:t>
      </w:r>
    </w:p>
    <w:p>
      <w:pPr>
        <w:pStyle w:val="A"/>
        <w:pBdr/>
        <w:spacing w:lineRule="auto" w:line="276" w:before="0" w:after="0"/>
        <w:rPr>
          <w:rFonts w:ascii="Calibri" w:hAnsi="Calibri" w:eastAsia="Calibri" w:cs="Calibri"/>
          <w:color w:val="00000A"/>
          <w:sz w:val="22"/>
          <w:szCs w:val="22"/>
        </w:rPr>
      </w:pPr>
      <w:r>
        <w:rPr>
          <w:rFonts w:ascii="Calibri" w:hAnsi="Calibri"/>
          <w:bCs/>
          <w:color w:val="00000A"/>
          <w:sz w:val="22"/>
          <w:szCs w:val="22"/>
        </w:rPr>
        <w:t>Άρθρο 9………………………………………………………………………………………………………………………………………………………….</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Τέκνα χωρίς γάμο των γονέων τους – Αντικατάσταση άρθρου 1515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10………………………………………………………………………………………………………………………………………………………..</w:t>
      </w:r>
    </w:p>
    <w:p>
      <w:pPr>
        <w:pStyle w:val="A"/>
        <w:pBdr/>
        <w:tabs>
          <w:tab w:val="left" w:pos="3372" w:leader="none"/>
        </w:tabs>
        <w:spacing w:lineRule="auto" w:line="276" w:before="0" w:after="0"/>
        <w:rPr>
          <w:rFonts w:ascii="Calibri" w:hAnsi="Calibri" w:eastAsia="Calibri" w:cs="Calibri"/>
          <w:bCs/>
          <w:color w:val="00000A"/>
          <w:sz w:val="22"/>
          <w:szCs w:val="22"/>
        </w:rPr>
      </w:pPr>
      <w:r>
        <w:rPr>
          <w:rFonts w:ascii="Calibri" w:hAnsi="Calibri"/>
          <w:bCs/>
          <w:color w:val="00000A"/>
          <w:sz w:val="22"/>
          <w:szCs w:val="22"/>
        </w:rPr>
        <w:t>Πράξεις από τον ένα γονέα – Τροποποίηση άρθρου 1516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11………………………………………………………………………………………………………………………………………………………..</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Επιμέλεια του προσώπου – Προσθήκη παρ. 4 στο άρθρο 1518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12………………………………………………………………………………………………………………………………………………………..</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Από κοινού άσκηση της επιμέλειας του τέκνου σε σημαντικά ζητήματα – Αντικατάσταση τίτλου και άρθρου 1519 ΑΚ…………………………………………………………………………………………………………………………………………………</w:t>
      </w:r>
    </w:p>
    <w:p>
      <w:pPr>
        <w:pStyle w:val="A"/>
        <w:pBdr/>
        <w:spacing w:lineRule="auto" w:line="276" w:before="0" w:after="0"/>
        <w:rPr>
          <w:rFonts w:ascii="Calibri" w:hAnsi="Calibri" w:eastAsia="Calibri" w:cs="Calibri"/>
          <w:bCs/>
          <w:color w:val="00000A"/>
          <w:sz w:val="22"/>
          <w:szCs w:val="22"/>
        </w:rPr>
      </w:pPr>
      <w:r>
        <w:rPr>
          <w:rFonts w:ascii="Calibri" w:hAnsi="Calibri"/>
          <w:b/>
          <w:bCs/>
          <w:color w:val="00000A"/>
          <w:sz w:val="22"/>
          <w:szCs w:val="22"/>
        </w:rPr>
        <w:t>ΚΕΦΑΛΑΙΟ Γ΄</w:t>
      </w:r>
      <w:r>
        <w:rPr>
          <w:rFonts w:ascii="Calibri" w:hAnsi="Calibri"/>
          <w:bCs/>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ΚΑΘΙΕΡΩΣΗ ΤΕΚΜΗΡΙΟΥ ΕΠΙΚΟΙΝΩΝΙΑΣ ΚΑΙ ΣΥΝΕΠΕΙΕΣ ΚΑΚΗΣ ΑΣΚΗΣΗΣ ΓΟΝΙΚΗΣ ΜΕΡΙΜΝΑΣ…………………..</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13………………………………………………………………………………………………………………………………………………………..</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Δικαίωμα επικοινωνίας – Αντικατάσταση  άρθρου 1520 ΑΚ………………………………………………………………………….</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14………………………………………………………………………………………………………………………………………………………..</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Συνέπειες κακής άσκησης – Αντικατάσταση άρθρου 1532 ΑΚ……………………………………………………………………….</w:t>
      </w:r>
    </w:p>
    <w:p>
      <w:pPr>
        <w:pStyle w:val="A"/>
        <w:pBdr/>
        <w:spacing w:lineRule="auto" w:line="276" w:before="0" w:after="0"/>
        <w:rPr>
          <w:rFonts w:ascii="Calibri" w:hAnsi="Calibri" w:eastAsia="Calibri" w:cs="Calibri"/>
          <w:bCs/>
          <w:color w:val="00000A"/>
          <w:sz w:val="22"/>
          <w:szCs w:val="22"/>
        </w:rPr>
      </w:pPr>
      <w:r>
        <w:rPr>
          <w:rFonts w:ascii="Calibri" w:hAnsi="Calibri"/>
          <w:b/>
          <w:bCs/>
          <w:color w:val="00000A"/>
          <w:sz w:val="22"/>
          <w:szCs w:val="22"/>
        </w:rPr>
        <w:t>ΚΕΦΑΛΑΙΟ Δ΄</w:t>
      </w:r>
      <w:r>
        <w:rPr>
          <w:rFonts w:ascii="Calibri" w:hAnsi="Calibri"/>
          <w:bCs/>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ΔΙΑΜΕΣΟΛΑΒΗΣΗ ΚΑΙ ΕΠΙΜΟΡΦΩΣΗ ΔΙΚΑΣΤΩΝ…………………………………………………………………………………………….</w:t>
      </w:r>
    </w:p>
    <w:p>
      <w:pPr>
        <w:pStyle w:val="A"/>
        <w:pBdr/>
        <w:tabs>
          <w:tab w:val="center" w:pos="4153" w:leader="none"/>
          <w:tab w:val="left" w:pos="4986" w:leader="none"/>
        </w:tabs>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15………………………………………………………………………………………………………………………………………………………..</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Ορισμός διαμεσολαβητών……………………………………………………………………………………………………………………………..</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16………………………………………………………………………………………………………………………………………………………..</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Έκτακτα προγράμματα επιμόρφωσης στην Εθνική Σχολή Δικαστικών Λειτουργών……………………………………….</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17………………………………………………………………………………………………………………………………………………………..</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Επιμόρφωση δικαστών…………………………………………………………………………………………………………………………………..</w:t>
      </w:r>
    </w:p>
    <w:p>
      <w:pPr>
        <w:pStyle w:val="A"/>
        <w:pBdr/>
        <w:spacing w:lineRule="auto" w:line="276" w:before="0" w:after="0"/>
        <w:rPr>
          <w:rFonts w:ascii="Calibri" w:hAnsi="Calibri" w:eastAsia="Calibri" w:cs="Calibri"/>
          <w:b/>
          <w:b/>
          <w:bCs/>
          <w:color w:val="00000A"/>
          <w:sz w:val="22"/>
          <w:szCs w:val="22"/>
        </w:rPr>
      </w:pPr>
      <w:r>
        <w:rPr>
          <w:rFonts w:ascii="Calibri" w:hAnsi="Calibri"/>
          <w:b/>
          <w:bCs/>
          <w:color w:val="00000A"/>
          <w:sz w:val="22"/>
          <w:szCs w:val="22"/>
        </w:rPr>
        <w:t>ΚΕΦΑΛΑΙΟ Ε</w:t>
      </w:r>
      <w:r>
        <w:rPr>
          <w:rFonts w:ascii="Arial Unicode MS" w:hAnsi="Arial Unicode MS"/>
          <w:color w:val="00000A"/>
          <w:sz w:val="22"/>
          <w:szCs w:val="22"/>
          <w:lang w:val="ar-SA"/>
        </w:rPr>
        <w:t>’</w:t>
      </w:r>
      <w:r>
        <w:rPr>
          <w:rFonts w:ascii="Calibri" w:hAnsi="Calibri"/>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ΜΕΤΑΒΑΤΙΚΕΣ ΔΙΑΤΑΞΕΙΣ………………………………………………………………………………………………………………………………..</w:t>
      </w:r>
    </w:p>
    <w:p>
      <w:pPr>
        <w:pStyle w:val="A"/>
        <w:pBdr/>
        <w:spacing w:lineRule="auto" w:line="276" w:before="0" w:after="0"/>
        <w:rPr>
          <w:rFonts w:ascii="Calibri" w:hAnsi="Calibri" w:eastAsia="Calibri" w:cs="Calibri"/>
          <w:color w:val="00000A"/>
          <w:sz w:val="22"/>
          <w:szCs w:val="22"/>
        </w:rPr>
      </w:pPr>
      <w:r>
        <w:rPr>
          <w:rFonts w:ascii="Calibri" w:hAnsi="Calibri"/>
          <w:bCs/>
          <w:color w:val="00000A"/>
          <w:sz w:val="22"/>
          <w:szCs w:val="22"/>
        </w:rPr>
        <w:t>Άρθρο 18………………………………………………………………………………………………………………………………………………………..</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Εφαρμογή των διατάξεων των Κεφαλαίων Β’</w:t>
      </w:r>
      <w:r>
        <w:rPr>
          <w:rFonts w:ascii="Arial Unicode MS" w:hAnsi="Arial Unicode MS"/>
          <w:color w:val="00000A"/>
          <w:sz w:val="22"/>
          <w:szCs w:val="22"/>
          <w:lang w:val="ar-SA"/>
        </w:rPr>
        <w:t xml:space="preserve"> </w:t>
      </w:r>
      <w:r>
        <w:rPr>
          <w:rFonts w:ascii="Calibri" w:hAnsi="Calibri"/>
          <w:bCs/>
          <w:color w:val="00000A"/>
          <w:sz w:val="22"/>
          <w:szCs w:val="22"/>
        </w:rPr>
        <w:t>και Γ΄ σε εκκρεμείς υποθέσεις………………………………………………..</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19………………………………………………………………………………………………………………………………………………………..</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Μεταβατική διάταξη για τα τέκνα που αναγνωρίστηκαν πριν από την έναρξη ισχύος του παρόντος……………</w:t>
      </w:r>
    </w:p>
    <w:p>
      <w:pPr>
        <w:pStyle w:val="A"/>
        <w:pBdr/>
        <w:spacing w:lineRule="auto" w:line="276" w:before="0" w:after="0"/>
        <w:rPr>
          <w:rFonts w:ascii="Calibri" w:hAnsi="Calibri" w:eastAsia="Calibri" w:cs="Calibri"/>
          <w:b/>
          <w:b/>
          <w:bCs/>
          <w:color w:val="00000A"/>
          <w:sz w:val="22"/>
          <w:szCs w:val="22"/>
        </w:rPr>
      </w:pPr>
      <w:r>
        <w:rPr>
          <w:rFonts w:ascii="Calibri" w:hAnsi="Calibri"/>
          <w:b/>
          <w:bCs/>
          <w:color w:val="00000A"/>
          <w:sz w:val="22"/>
          <w:szCs w:val="22"/>
        </w:rPr>
        <w:t>ΚΕΦΑΛΑΙΟ ΣΤ</w:t>
      </w:r>
      <w:r>
        <w:rPr>
          <w:rFonts w:ascii="Arial Unicode MS" w:hAnsi="Arial Unicode MS"/>
          <w:color w:val="00000A"/>
          <w:sz w:val="22"/>
          <w:szCs w:val="22"/>
          <w:lang w:val="ar-SA"/>
        </w:rPr>
        <w:t>'</w:t>
      </w:r>
      <w:r>
        <w:rPr>
          <w:rFonts w:ascii="Calibri" w:hAnsi="Calibri"/>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ΕΞΟΥΣΙΟΔΟΤΙΚΕΣ ΔΙΑΤΑΞΕΙΣ……………………………………………………………………………………………………………………………</w:t>
      </w:r>
    </w:p>
    <w:p>
      <w:pPr>
        <w:pStyle w:val="A"/>
        <w:pBdr/>
        <w:tabs>
          <w:tab w:val="left" w:pos="1296" w:leader="none"/>
        </w:tabs>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20………………………………………………………………………………………………………………………………………………………..</w:t>
      </w:r>
    </w:p>
    <w:p>
      <w:pPr>
        <w:pStyle w:val="A"/>
        <w:pBdr/>
        <w:tabs>
          <w:tab w:val="left" w:pos="1296" w:leader="none"/>
        </w:tabs>
        <w:spacing w:lineRule="auto" w:line="276" w:before="0" w:after="0"/>
        <w:rPr>
          <w:rFonts w:ascii="Calibri" w:hAnsi="Calibri" w:eastAsia="Calibri" w:cs="Calibri"/>
          <w:bCs/>
          <w:color w:val="00000A"/>
          <w:sz w:val="22"/>
          <w:szCs w:val="22"/>
        </w:rPr>
      </w:pPr>
      <w:r>
        <w:rPr>
          <w:rFonts w:ascii="Calibri" w:hAnsi="Calibri"/>
          <w:bCs/>
          <w:color w:val="00000A"/>
          <w:sz w:val="22"/>
          <w:szCs w:val="22"/>
        </w:rPr>
        <w:t>Εξουσιοδοτική διάταξη για την συμφωνία λύσης του γάμου με ηλεκτρονικά μέσα……………………………………..</w:t>
      </w:r>
    </w:p>
    <w:p>
      <w:pPr>
        <w:pStyle w:val="A"/>
        <w:pBdr/>
        <w:tabs>
          <w:tab w:val="left" w:pos="1296" w:leader="none"/>
        </w:tabs>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21………………………………………………………………………………………………………………………………………………………..</w:t>
      </w:r>
    </w:p>
    <w:p>
      <w:pPr>
        <w:pStyle w:val="A"/>
        <w:pBdr/>
        <w:tabs>
          <w:tab w:val="left" w:pos="1296" w:leader="none"/>
        </w:tabs>
        <w:spacing w:lineRule="auto" w:line="276" w:before="0" w:after="0"/>
        <w:rPr>
          <w:rFonts w:ascii="Calibri" w:hAnsi="Calibri"/>
          <w:bCs/>
          <w:color w:val="00000A"/>
          <w:sz w:val="22"/>
          <w:szCs w:val="22"/>
        </w:rPr>
      </w:pPr>
      <w:r>
        <w:rPr>
          <w:rFonts w:ascii="Calibri" w:hAnsi="Calibri"/>
          <w:bCs/>
          <w:color w:val="00000A"/>
          <w:sz w:val="22"/>
          <w:szCs w:val="22"/>
        </w:rPr>
        <w:t>Εξουσιοδοτική διάταξη για τη διαμεσολάβηση……………………………………………………………………………………………..</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22………………………………………………………………………………………………………………………………………………………..</w:t>
      </w:r>
    </w:p>
    <w:p>
      <w:pPr>
        <w:pStyle w:val="A"/>
        <w:pBdr/>
        <w:spacing w:lineRule="auto" w:line="276" w:before="0" w:after="0"/>
        <w:rPr>
          <w:rFonts w:ascii="Calibri" w:hAnsi="Calibri"/>
          <w:bCs/>
          <w:color w:val="00000A"/>
          <w:sz w:val="22"/>
          <w:szCs w:val="22"/>
        </w:rPr>
      </w:pPr>
      <w:r>
        <w:rPr>
          <w:rFonts w:ascii="Calibri" w:hAnsi="Calibri"/>
          <w:bCs/>
          <w:color w:val="00000A"/>
          <w:sz w:val="22"/>
          <w:szCs w:val="22"/>
        </w:rPr>
        <w:t>Εξουσιοδοτική διάταξη για τη χρηματοδότηση επιμορφωτικών σεμιναρίων του άρθρου 16………………………..</w:t>
      </w:r>
    </w:p>
    <w:p>
      <w:pPr>
        <w:pStyle w:val="A"/>
        <w:pBdr/>
        <w:spacing w:lineRule="auto" w:line="276" w:before="0" w:after="0"/>
        <w:rPr>
          <w:rFonts w:ascii="Calibri" w:hAnsi="Calibri" w:eastAsia="Calibri" w:cs="Calibri"/>
          <w:bCs/>
          <w:color w:val="00000A"/>
          <w:sz w:val="22"/>
          <w:szCs w:val="22"/>
        </w:rPr>
      </w:pPr>
      <w:r>
        <w:rPr>
          <w:rFonts w:ascii="Calibri" w:hAnsi="Calibri"/>
          <w:b/>
          <w:bCs/>
          <w:color w:val="00000A"/>
          <w:sz w:val="22"/>
          <w:szCs w:val="22"/>
        </w:rPr>
        <w:t>ΚΕΦΑΛΑΙΟ Ζ΄</w:t>
      </w:r>
      <w:r>
        <w:rPr>
          <w:rFonts w:ascii="Calibri" w:hAnsi="Calibri"/>
          <w:bCs/>
          <w:color w:val="00000A"/>
          <w:sz w:val="22"/>
          <w:szCs w:val="22"/>
        </w:rPr>
        <w:t>......................................................................................................................................................</w:t>
      </w:r>
    </w:p>
    <w:p>
      <w:pPr>
        <w:pStyle w:val="A"/>
        <w:pBdr/>
        <w:spacing w:lineRule="auto" w:line="276" w:before="0" w:after="0"/>
        <w:rPr>
          <w:rFonts w:ascii="Calibri" w:hAnsi="Calibri" w:eastAsia="Calibri" w:cs="Calibri"/>
          <w:bCs/>
          <w:color w:val="00000A"/>
          <w:sz w:val="22"/>
          <w:szCs w:val="22"/>
        </w:rPr>
      </w:pPr>
      <w:r>
        <w:rPr>
          <w:rFonts w:ascii="Calibri" w:hAnsi="Calibri"/>
          <w:bCs/>
          <w:color w:val="00000A"/>
          <w:sz w:val="22"/>
          <w:szCs w:val="22"/>
        </w:rPr>
        <w:t>Άρθρο 23………………………………………………………………………………………………………………………………………………………..</w:t>
      </w:r>
    </w:p>
    <w:p>
      <w:pPr>
        <w:pStyle w:val="A"/>
        <w:widowControl w:val="false"/>
        <w:pBdr/>
        <w:tabs>
          <w:tab w:val="left" w:pos="540" w:leader="none"/>
        </w:tabs>
        <w:suppressAutoHyphens w:val="true"/>
        <w:spacing w:lineRule="auto" w:line="276" w:before="0" w:after="0"/>
        <w:rPr>
          <w:rFonts w:ascii="Calibri" w:hAnsi="Calibri" w:eastAsia="Calibri" w:cs="Calibri"/>
          <w:bCs/>
          <w:color w:val="00000A"/>
          <w:sz w:val="22"/>
          <w:szCs w:val="22"/>
        </w:rPr>
      </w:pPr>
      <w:r>
        <w:rPr>
          <w:rFonts w:ascii="Calibri" w:hAnsi="Calibri"/>
          <w:bCs/>
          <w:color w:val="00000A"/>
          <w:sz w:val="22"/>
          <w:szCs w:val="22"/>
        </w:rPr>
        <w:t>Έναρξη ισχύος………………………………………………………………………………………………………………………………………………..</w:t>
      </w:r>
    </w:p>
    <w:p>
      <w:pPr>
        <w:pStyle w:val="A"/>
        <w:spacing w:lineRule="auto" w:line="276" w:before="0" w:after="0"/>
        <w:jc w:val="center"/>
        <w:rPr>
          <w:rFonts w:ascii="Calibri" w:hAnsi="Calibri"/>
          <w:color w:val="00000A"/>
          <w:sz w:val="22"/>
          <w:szCs w:val="22"/>
        </w:rPr>
      </w:pPr>
      <w:r>
        <w:rPr>
          <w:rFonts w:ascii="Calibri" w:hAnsi="Calibri"/>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jc w:val="center"/>
        <w:rPr>
          <w:rFonts w:ascii="Calibri" w:hAnsi="Calibri"/>
          <w:b/>
          <w:b/>
          <w:color w:val="00000A"/>
          <w:sz w:val="22"/>
          <w:szCs w:val="22"/>
        </w:rPr>
      </w:pPr>
      <w:r>
        <w:rPr>
          <w:rFonts w:ascii="Calibri" w:hAnsi="Calibri"/>
          <w:b/>
          <w:color w:val="00000A"/>
          <w:sz w:val="22"/>
          <w:szCs w:val="22"/>
        </w:rPr>
      </w:r>
    </w:p>
    <w:p>
      <w:pPr>
        <w:pStyle w:val="A"/>
        <w:spacing w:lineRule="auto" w:line="276" w:before="0" w:after="0"/>
        <w:rPr>
          <w:rFonts w:ascii="Calibri" w:hAnsi="Calibri"/>
          <w:b/>
          <w:b/>
          <w:color w:val="00000A"/>
          <w:sz w:val="22"/>
          <w:szCs w:val="22"/>
        </w:rPr>
      </w:pPr>
      <w:r>
        <w:rPr>
          <w:rFonts w:ascii="Calibri" w:hAnsi="Calibri"/>
          <w:b/>
          <w:color w:val="00000A"/>
          <w:sz w:val="22"/>
          <w:szCs w:val="22"/>
        </w:rPr>
      </w:r>
    </w:p>
    <w:p>
      <w:pPr>
        <w:pStyle w:val="A"/>
        <w:spacing w:lineRule="auto" w:line="276" w:before="0" w:after="0"/>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ΚΕΦΑΛΑΙΟ Α΄ </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ΑΝΤΙΚΕΙΜΕΝΟ ΚΑΙ ΣΚΟΠΟΣ</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Αντικείμενο</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Αντικείμενο του παρόντος νόμου αποτελεί η αναμόρφωση των σχέσεων γονέων-τέκνου μετά τη διακοπή της συμβίωσης των συζύγων, το διαζύγιο ή την ακύρωση του γάμου. Οι ρυθμίσεις του παρόντος νόμου αφορούν και την λύση του συμφώνου συμβίωσης.</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2</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Σκοπός</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Οι διατάξεις του παρόντος νόμου αποσκοπούν στην εξυπηρέτηση του συμφέροντος του τέκνου δια της ενεργής παρουσίας και των δύο γονέων κατά την ανατροφή του και την εκπλήρωση της ευθύνης τους έναντι αυτού, παρά τη μεσολάβηση της διάστασης, του διαζυγίου ή της ακύρωσης του γάμου.</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Β΄</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ΤΡΟΠΟΠΟΙΗΣΕΙΣ ΑΣΤΙΚΟΥ ΚΩΔΙΚΑ</w:t>
      </w:r>
      <w:r>
        <w:rPr>
          <w:rFonts w:ascii="Calibri" w:hAnsi="Calibri"/>
          <w:b/>
          <w:bCs/>
          <w:color w:val="00000A"/>
          <w:sz w:val="22"/>
          <w:szCs w:val="22"/>
          <w:lang w:val="ru-RU"/>
        </w:rPr>
        <w:t xml:space="preserve"> - </w:t>
      </w:r>
      <w:r>
        <w:rPr>
          <w:rFonts w:ascii="Calibri" w:hAnsi="Calibri"/>
          <w:b/>
          <w:bCs/>
          <w:color w:val="00000A"/>
          <w:sz w:val="22"/>
          <w:szCs w:val="22"/>
        </w:rPr>
        <w:t>ΚΑΤΟΙΚΙΑ, ΣΧΕΣΕΙΣ ΓΟΝΕΩΝ ΚΑΙ ΤΕΚΝΩΝ</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 </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3</w:t>
      </w:r>
    </w:p>
    <w:p>
      <w:pPr>
        <w:pStyle w:val="A"/>
        <w:spacing w:lineRule="auto" w:line="276" w:before="0" w:after="0"/>
        <w:jc w:val="center"/>
        <w:rPr>
          <w:rFonts w:ascii="Calibri" w:hAnsi="Calibri"/>
          <w:b/>
          <w:b/>
          <w:bCs/>
          <w:color w:val="00000A"/>
          <w:sz w:val="22"/>
          <w:szCs w:val="22"/>
        </w:rPr>
      </w:pPr>
      <w:r>
        <w:rPr>
          <w:rFonts w:ascii="Calibri" w:hAnsi="Calibri"/>
          <w:b/>
          <w:bCs/>
          <w:color w:val="00000A"/>
          <w:sz w:val="22"/>
          <w:szCs w:val="22"/>
        </w:rPr>
        <w:t xml:space="preserve">Κατοικία ανηλίκου </w:t>
      </w:r>
      <w:r>
        <w:rPr>
          <w:rFonts w:ascii="Calibri" w:hAnsi="Calibri"/>
          <w:b/>
          <w:bCs/>
          <w:color w:val="00000A"/>
          <w:sz w:val="22"/>
          <w:szCs w:val="22"/>
          <w:lang w:val="ru-RU"/>
        </w:rPr>
        <w:t xml:space="preserve">- </w:t>
      </w:r>
      <w:r>
        <w:rPr>
          <w:rFonts w:ascii="Calibri" w:hAnsi="Calibri"/>
          <w:b/>
          <w:bCs/>
          <w:color w:val="00000A"/>
          <w:sz w:val="22"/>
          <w:szCs w:val="22"/>
        </w:rPr>
        <w:t>Τροποποίηση άρθρου 56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Το δεύτερο εδάφιο του άρθρου 56 του Αστικού Κώδικα (Α.Κ., π.δ. 456/1984, </w:t>
      </w:r>
      <w:r>
        <w:rPr>
          <w:rFonts w:ascii="Calibri" w:hAnsi="Calibri"/>
          <w:color w:val="00000A"/>
          <w:sz w:val="22"/>
          <w:szCs w:val="22"/>
          <w:lang w:val="ar-SA"/>
        </w:rPr>
        <w:t>Α</w:t>
      </w:r>
      <w:r>
        <w:rPr>
          <w:rFonts w:ascii="Calibri" w:hAnsi="Calibri"/>
          <w:color w:val="00000A"/>
          <w:sz w:val="22"/>
          <w:szCs w:val="22"/>
        </w:rPr>
        <w:t>’ 164)  αντικαθίσταται και το άρθρο διαμορφώνεται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56</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ανήλικος που τελεί υπό γονική μέριμνα έχει κατοικία την κατοικία των γονέων του ή του γονέα που ασκεί μόνος του τη γονική μέριμνα. Σε περίπτωση χωριστής διαμονής των γονέων, ο ανήλικος έχει κατοικία την κατοικία του γονέα με τον οποίο συνήθως διαμένει.</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Η επίδοση εγγράφων που αφορούν το τέκνο γίνεται στην κατοικία οιουδήποτε εκ των γονέων ή σε τρίτο που ασκεί την γονική μέριμνα.</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ανήλικος που τελεί υπό επιτροπεία ή όποιος τελεί υπό πλήρη στερητική δικαστική συμπαράσταση, έχει κατοικία την κατοικία του επιτρόπου ή του δικαστικού συμπαραστάτη του.</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4</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Συναινετικό διαζύγιο </w:t>
      </w:r>
      <w:r>
        <w:rPr>
          <w:rFonts w:ascii="Calibri" w:hAnsi="Calibri"/>
          <w:b/>
          <w:bCs/>
          <w:color w:val="00000A"/>
          <w:sz w:val="22"/>
          <w:szCs w:val="22"/>
          <w:lang w:val="ru-RU"/>
        </w:rPr>
        <w:t xml:space="preserve">- </w:t>
      </w:r>
      <w:r>
        <w:rPr>
          <w:rFonts w:ascii="Calibri" w:hAnsi="Calibri"/>
          <w:b/>
          <w:bCs/>
          <w:color w:val="00000A"/>
          <w:sz w:val="22"/>
          <w:szCs w:val="22"/>
        </w:rPr>
        <w:t xml:space="preserve">Αντικατάσταση άρθρου </w:t>
      </w:r>
      <w:r>
        <w:rPr>
          <w:rFonts w:ascii="Calibri" w:hAnsi="Calibri"/>
          <w:b/>
          <w:bCs/>
          <w:color w:val="00000A"/>
          <w:sz w:val="22"/>
          <w:szCs w:val="22"/>
          <w:lang w:val="ru-RU"/>
        </w:rPr>
        <w:t xml:space="preserve">1441 </w:t>
      </w:r>
      <w:r>
        <w:rPr>
          <w:rFonts w:ascii="Calibri" w:hAnsi="Calibri"/>
          <w:b/>
          <w:bCs/>
          <w:color w:val="00000A"/>
          <w:sz w:val="22"/>
          <w:szCs w:val="22"/>
        </w:rPr>
        <w:t>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Το άρθρο </w:t>
      </w:r>
      <w:r>
        <w:rPr>
          <w:rFonts w:ascii="Calibri" w:hAnsi="Calibri"/>
          <w:color w:val="00000A"/>
          <w:sz w:val="22"/>
          <w:szCs w:val="22"/>
          <w:lang w:val="ru-RU"/>
        </w:rPr>
        <w:t xml:space="preserve">1441 </w:t>
      </w:r>
      <w:r>
        <w:rPr>
          <w:rFonts w:ascii="Calibri" w:hAnsi="Calibri"/>
          <w:color w:val="00000A"/>
          <w:sz w:val="22"/>
          <w:szCs w:val="22"/>
        </w:rPr>
        <w:t>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1441</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Συναινετικό διαζύγιο</w:t>
      </w:r>
    </w:p>
    <w:p>
      <w:pPr>
        <w:pStyle w:val="A"/>
        <w:spacing w:lineRule="auto" w:line="276" w:before="0" w:after="0"/>
        <w:jc w:val="both"/>
        <w:rPr>
          <w:rFonts w:ascii="Calibri" w:hAnsi="Calibri"/>
          <w:color w:val="00000A"/>
          <w:sz w:val="22"/>
          <w:szCs w:val="22"/>
        </w:rPr>
      </w:pPr>
      <w:r>
        <w:rPr>
          <w:rFonts w:ascii="Calibri" w:hAnsi="Calibri"/>
          <w:color w:val="00000A"/>
          <w:sz w:val="22"/>
          <w:szCs w:val="22"/>
        </w:rPr>
        <w:t>1.</w:t>
      </w:r>
      <w:r>
        <w:rPr>
          <w:rFonts w:ascii="Calibri" w:hAnsi="Calibri"/>
          <w:b/>
          <w:bCs/>
          <w:color w:val="00000A"/>
          <w:sz w:val="22"/>
          <w:szCs w:val="22"/>
        </w:rPr>
        <w:t xml:space="preserve"> </w:t>
      </w:r>
      <w:r>
        <w:rPr>
          <w:rFonts w:ascii="Calibri" w:hAnsi="Calibri"/>
          <w:color w:val="00000A"/>
          <w:sz w:val="22"/>
          <w:szCs w:val="22"/>
        </w:rPr>
        <w:t>Οι σύζυγοι</w:t>
      </w:r>
      <w:r>
        <w:rPr>
          <w:rFonts w:ascii="Calibri" w:hAnsi="Calibri"/>
          <w:b/>
          <w:bCs/>
          <w:color w:val="00000A"/>
          <w:sz w:val="22"/>
          <w:szCs w:val="22"/>
        </w:rPr>
        <w:t xml:space="preserve"> </w:t>
      </w:r>
      <w:r>
        <w:rPr>
          <w:rFonts w:ascii="Calibri" w:hAnsi="Calibri"/>
          <w:color w:val="00000A"/>
          <w:sz w:val="22"/>
          <w:szCs w:val="22"/>
        </w:rPr>
        <w:t>μπορούν</w:t>
      </w:r>
      <w:r>
        <w:rPr>
          <w:rFonts w:ascii="Calibri" w:hAnsi="Calibri"/>
          <w:b/>
          <w:bCs/>
          <w:color w:val="00000A"/>
          <w:sz w:val="22"/>
          <w:szCs w:val="22"/>
        </w:rPr>
        <w:t xml:space="preserve"> </w:t>
      </w:r>
      <w:r>
        <w:rPr>
          <w:rFonts w:ascii="Calibri" w:hAnsi="Calibri"/>
          <w:color w:val="00000A"/>
          <w:sz w:val="22"/>
          <w:szCs w:val="22"/>
        </w:rPr>
        <w:t xml:space="preserve">με έγγραφη συμφωνία ή κοινή ψηφιακή δήλωση να λύσουν τον γάμο τους, μη απαιτούμενης της βεβαίωσης του γνησίου της υπογραφής των συζύγων. Η συμφωνία αυτή συνάπτεται μεταξύ των συζύγων με την παρουσία ή με ψηφιακή σύμπραξη πληρεξούσιου δικηγόρου για καθέναν από αυτούς, και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2. Αν υπάρχουν ανήλικα τέκνα, για να λυθεί ο γάμος, πρέπει με τη συμφωνία της παρ</w:t>
      </w:r>
      <w:r>
        <w:rPr>
          <w:rFonts w:ascii="Calibri" w:hAnsi="Calibri"/>
          <w:color w:val="00000A"/>
          <w:sz w:val="22"/>
          <w:szCs w:val="22"/>
          <w:lang w:val="ru-RU"/>
        </w:rPr>
        <w:t xml:space="preserve">. 1 </w:t>
      </w:r>
      <w:r>
        <w:rPr>
          <w:rFonts w:ascii="Calibri" w:hAnsi="Calibri"/>
          <w:color w:val="00000A"/>
          <w:sz w:val="22"/>
          <w:szCs w:val="22"/>
        </w:rPr>
        <w:t>ή με άλλη έγγραφη συμφωνία που υπογράφεται όπως ορίζεται στην παρ</w:t>
      </w:r>
      <w:r>
        <w:rPr>
          <w:rFonts w:ascii="Calibri" w:hAnsi="Calibri"/>
          <w:color w:val="00000A"/>
          <w:sz w:val="22"/>
          <w:szCs w:val="22"/>
          <w:lang w:val="ru-RU"/>
        </w:rPr>
        <w:t xml:space="preserve">. 1 </w:t>
      </w:r>
      <w:r>
        <w:rPr>
          <w:rFonts w:ascii="Calibri" w:hAnsi="Calibri"/>
          <w:color w:val="00000A"/>
          <w:sz w:val="22"/>
          <w:szCs w:val="22"/>
        </w:rPr>
        <w:t xml:space="preserve">και ισχύει για τουλάχιστον δύο έτη,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3α. Η έγγραφη συμφωνία για τη λύση του γάμου, καθώς και η τυχόν χωριστή συμφωνία για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w:t>
      </w:r>
    </w:p>
    <w:p>
      <w:pPr>
        <w:pStyle w:val="A"/>
        <w:spacing w:lineRule="auto" w:line="276" w:before="0" w:after="0"/>
        <w:jc w:val="both"/>
        <w:rPr>
          <w:rFonts w:ascii="Calibri" w:hAnsi="Calibri" w:eastAsia="Calibri" w:cs="Calibri"/>
          <w:color w:val="00000A"/>
          <w:sz w:val="22"/>
          <w:szCs w:val="22"/>
          <w:u w:val="none" w:color="FF2600"/>
        </w:rPr>
      </w:pPr>
      <w:r>
        <w:rPr>
          <w:rFonts w:ascii="Calibri" w:hAnsi="Calibri"/>
          <w:color w:val="00000A"/>
          <w:sz w:val="22"/>
          <w:szCs w:val="22"/>
        </w:rPr>
        <w:t xml:space="preserve">3β. </w:t>
      </w:r>
      <w:r>
        <w:rPr>
          <w:rFonts w:ascii="Calibri" w:hAnsi="Calibri"/>
          <w:color w:val="00000A"/>
          <w:sz w:val="22"/>
          <w:szCs w:val="22"/>
          <w:u w:val="none" w:color="FF2600"/>
        </w:rPr>
        <w:t>Η κατάρτιση της συμβολαιογραφικής πράξης της παρ. 4 του παρόντος άρθρου απέχει τουλάχιστον δέκα ημέρες από την έγγραφη συμφωνία των συζύγων, η ημερομηνία της οποίας αποδεικνύεται, με βεβαίωση του γνησίου της υπογραφής των συζύγων.</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4. Ο συμβολαιογράφος συντάσσει πράξη με την οποία βεβαιώνει την λύση του γάμου, επικυρώνει τις συμφωνίες των συζύγων και τις ενσωματώνει σε αυτή. Τη συμβολαιογραφική πράξη υπογράφουν οι σύζυγοι και οι πληρεξούσιοι δικηγόροι τους ή μόνο οι τελευταίοι, εφόσον είναι εφοδιασμένοι με ειδικό πληρεξούσιο.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στην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5. Η λύση του γάμου επέρχεται με την κατάθεση αντιγράφου της συμβολαιογραφικής πράξης στο ληξιαρχείο όπου έχει κατατεθεί η σύσταση του γάμου, ή με ενημέρωση του ληξιαρχείου με χρήση Τεχνολογιών Πληροφορικής και Επικοινωνιών.</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5</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Συμφέρον τέκνου </w:t>
      </w:r>
      <w:r>
        <w:rPr>
          <w:rFonts w:ascii="Calibri" w:hAnsi="Calibri"/>
          <w:b/>
          <w:bCs/>
          <w:color w:val="00000A"/>
          <w:sz w:val="22"/>
          <w:szCs w:val="22"/>
          <w:lang w:val="ru-RU"/>
        </w:rPr>
        <w:t xml:space="preserve">- </w:t>
      </w:r>
      <w:r>
        <w:rPr>
          <w:rFonts w:ascii="Calibri" w:hAnsi="Calibri"/>
          <w:b/>
          <w:bCs/>
          <w:color w:val="00000A"/>
          <w:sz w:val="22"/>
          <w:szCs w:val="22"/>
        </w:rPr>
        <w:t>Τροποποίηση άρθρου 1511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1511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1511</w:t>
        <w:tab/>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Άσκηση – ανάθεση γονικής μέριμνας κατά το συμφέρον του τέκνου</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1. Κάθε απόφαση των γονέων σχετικά με την άσκηση της γονικής μέριμνας πρέπει να αποβλέπει στο συμφέρον του τέκνου.</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2. Στο συμφέρον του τέκνου, που εξυπηρετείται πρωτίστως από την ουσιαστική συμμετοχή και των δύο γονέων στην ανατροφή και φροντίδα του, καθώς επίσης και στην αποτροπή διάρρηξης των σχέσεών του με καθένα από αυτούς,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άσκησής της. Η απόφαση του δικαστηρίου λαμβάνει ιδίως υπόψη την ικανότητα και πρόθεση καθενός εκ των γονέων να σεβαστεί τα δικαιώματα του άλλου, την συμπεριφορά κάθε γονέα κατά το προηγούμενο χρονικό διάστημα και την συμμόρφωσή του με δικαστικές αποφάσεις, εισαγγελικές διατάξεις και με προηγούμενες συμφωνίες που είχε συνάψει με τον άλλο γονέα και αφορούν το τέκνο.</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3. Η απόφαση του δικαστηρίου πρέπει επίσης να σέβεται την ισότητα μεταξύ των γονέων και να μην κάνει διακρίσεις εξαιτίας ιδίως του φύλου, του σεξουαλικού προσανατολισμού, της φυλής, της γλώσσας, της θρησκείας, των πολιτικών ή όποιων άλλων πεποιθήσεων, της ιθαγένειας, της εθνικής ή κοινωνικής προέλευσης ή της περιουσίας.</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4. Ανάλογα με την ωριμότητα του τέκνου πρέπει να ζητείται και να συνεκτιμάται η γνώμη του, πριν από κάθε απόφαση σχετική με τη γονική μέριμνα και τα συμφέροντά του, εφόσον η γνώμη του τέκνου κριθεί από το δικαστήριο ότι δεν αποτελεί προϊόν καθοδήγησης ή υποβολής.</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6</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Διαμεσολάβηση – Αντικατάσταση άρθρου 1512 ΑΚ </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1512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1512</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Σε περίπτωση διαφωνίας</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Κατά την άσκηση της γονικής μέριμνας οι γονείς υποχρεούνται να καταβάλλουν προσπάθεια για την εξεύρεση κοινά αποδεκτών λύσεων, προσφεύγοντας, εάν είναι απαραίτητο, σε διαμεσολάβηση. Αν διαφωνούν και το συμφέρον του τέκνου επιβάλλει να ληφθεί απόφαση, αποφασίζει το δικαστήριο.</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Άρθρο </w:t>
      </w:r>
      <w:r>
        <w:rPr>
          <w:rFonts w:ascii="Calibri" w:hAnsi="Calibri"/>
          <w:b/>
          <w:bCs/>
          <w:color w:val="00000A"/>
          <w:sz w:val="22"/>
          <w:szCs w:val="22"/>
          <w:lang w:val="ru-RU"/>
        </w:rPr>
        <w:t xml:space="preserve">7 </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Από κοινού άσκηση της γονικής μέριμνας σε περίπτωση διαζυγίου ή ακύρωσης του γάμου</w:t>
      </w:r>
      <w:r>
        <w:rPr>
          <w:rFonts w:ascii="Calibri" w:hAnsi="Calibri"/>
          <w:b/>
          <w:bCs/>
          <w:color w:val="00000A"/>
          <w:sz w:val="22"/>
          <w:szCs w:val="22"/>
          <w:lang w:val="ru-RU"/>
        </w:rPr>
        <w:t xml:space="preserve">- </w:t>
      </w:r>
      <w:r>
        <w:rPr>
          <w:rFonts w:ascii="Calibri" w:hAnsi="Calibri"/>
          <w:b/>
          <w:bCs/>
          <w:color w:val="00000A"/>
          <w:sz w:val="22"/>
          <w:szCs w:val="22"/>
        </w:rPr>
        <w:t>και διάστασης των συζύγων– Αντικατάσταση τίτλου και άρθρου 1513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τίτλος και το άρθρο 1513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1513</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 xml:space="preserve">Διαζύγιο ή ακύρωση του γάμου </w:t>
      </w:r>
      <w:r>
        <w:rPr>
          <w:rFonts w:ascii="Calibri" w:hAnsi="Calibri"/>
          <w:color w:val="00000A"/>
          <w:sz w:val="22"/>
          <w:szCs w:val="22"/>
          <w:lang w:val="ru-RU"/>
        </w:rPr>
        <w:t xml:space="preserve">- </w:t>
      </w:r>
      <w:r>
        <w:rPr>
          <w:rFonts w:ascii="Calibri" w:hAnsi="Calibri"/>
          <w:color w:val="00000A"/>
          <w:sz w:val="22"/>
          <w:szCs w:val="22"/>
        </w:rPr>
        <w:t>διάσταση των συζύγων</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Στις περιπτώσεις διαζυγίου ή ακύρωσης του γάμου ή λύσης του συμφώνου ελεύθερης συμβίωσης ή διακοπής της συμβίωσης των συζύγων και εφόσον ζουν και οι δύο γονείς, εξακολουθούν να ασκούν από κοινού και εξίσου τη γονική μέριμνα. Ο γονέας με τον οποίο διαμένει το τέκνο επιχειρεί τις προβλεπόμενες στην παρ</w:t>
      </w:r>
      <w:r>
        <w:rPr>
          <w:rFonts w:ascii="Calibri" w:hAnsi="Calibri"/>
          <w:color w:val="00000A"/>
          <w:sz w:val="22"/>
          <w:szCs w:val="22"/>
          <w:lang w:val="ru-RU"/>
        </w:rPr>
        <w:t xml:space="preserve">. 1 </w:t>
      </w:r>
      <w:r>
        <w:rPr>
          <w:rFonts w:ascii="Calibri" w:hAnsi="Calibri"/>
          <w:color w:val="00000A"/>
          <w:sz w:val="22"/>
          <w:szCs w:val="22"/>
        </w:rPr>
        <w:t>του άρθρου 1516 του Α.Κ. πράξεις, κατόπιν προηγούμενης ενημέρωσης του άλλου γονέα.</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8</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Παρέκκλιση από την από κοινού άσκηση της γονικής μέριμνας– Αντικατάσταση άρθρου 1514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1514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1514</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Παρέκκλιση από την από κοινού άσκηση της γονικής μέριμνας</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1. Κατά παρέκκλιση του άρθρου 1513 του Αστικού Κώδικα, οι γονείς μπορούν με έγγραφο βεβαίας χρονολογίας να ρυθμίζουν, για χρονικό διάστημα τουλάχιστον δύο (2) ετών, διαφορετικά την κατανομή της γονικής μέριμνας και να καθορίζουν τον τόπο κατοικίας του τέκνου τους, τον γονέα με τον οποίο θα διαμένει, καθώς και τον τρόπο επικοινωνίας του με τον άλλο γονέα.</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2. Αν δεν είναι δυνατή η από κοινού άσκηση της γονικής μέριμνας, εξαιτίας διαφωνίας των συζύγων και ιδίως αν ο ένας γονέας αδιαφορεί ή δεν συμπράττει σ’ αυτή ή δεν τηρεί την τυχόν υπάρχουσα συμφωνία των γονέων για την άσκηση ή τον τρόπο άσκησης της γονικής μέριμνας ή αν η συμφωνία αυτή ή η άσκηση της γονικής μέριμνας είναι ή έχει καταστεί αντίθετη προς το συμφέρον του τέκνου, καθένας από τους γονείς μπορεί να προσφύγει στο δικαστήριο.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3. Το δικαστήριο μπορεί ανάλογα με την περίπτωση:</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α) να κατανείμει την άσκηση της γονικής μέριμνας μεταξύ των γονέων, να εξειδικεύσει τον τρόπο άσκησής της στα κατ’ ιδίαν θέματα ή να αναθέσει την άσκηση της γονικής μέριμνας στον ένα γονέα ή σε τρίτο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β)</w:t>
      </w:r>
      <w:r>
        <w:rPr>
          <w:rFonts w:ascii="Calibri" w:hAnsi="Calibri"/>
          <w:b/>
          <w:bCs/>
          <w:color w:val="00000A"/>
          <w:sz w:val="22"/>
          <w:szCs w:val="22"/>
        </w:rPr>
        <w:t xml:space="preserve"> </w:t>
      </w:r>
      <w:r>
        <w:rPr>
          <w:rFonts w:ascii="Calibri" w:hAnsi="Calibri"/>
          <w:color w:val="00000A"/>
          <w:sz w:val="22"/>
          <w:szCs w:val="22"/>
        </w:rPr>
        <w:t xml:space="preserve">να διατάξει πραγματογνωμοσύνη ή να ληφθεί οποιοδήποτε άλλο πρόσφορο μέτρο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γ) να διατάξει διαμεσολάβηση ή την επανάληψή της, ορίζοντας συγχρόνως τον διαμεσολαβητή.</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Για τη λήψη της απόφασής του το δικαστήριο λαμβάνει υπόψη τους έως τότε δεσμούς του τέκνου με τους γονείς και τους αδελφούς του, καθώς και τις τυχόν συμφωνίες που έκαναν οι γονείς του τέκνου σχετικά με την άσκηση της γονικής μέριμνας.</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color w:val="00000A"/>
          <w:sz w:val="22"/>
          <w:szCs w:val="22"/>
        </w:rPr>
      </w:pPr>
      <w:r>
        <w:rPr>
          <w:rFonts w:ascii="Calibri" w:hAnsi="Calibri"/>
          <w:b/>
          <w:bCs/>
          <w:color w:val="00000A"/>
          <w:sz w:val="22"/>
          <w:szCs w:val="22"/>
        </w:rPr>
        <w:t>Άρθρο 9</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Τέκνα χωρίς γάμο των γονέων τους – Αντικατάσταση άρθρου 1515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1515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1515</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Τέκνα χωρίς γάμο των γονέων τους</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Η γονική μέριμνα του ανηλίκου τέκνου που γεννήθηκε και παραμένει χωρίς γάμο των γονέων του ανήκει στην μητέρα του. Όταν το τέκνο αναγνωρίστηκε εκούσια ή δικαστικά με αγωγή που άσκησε ο πατέρας, αποκτά γονική μέριμνα και ο πατέρας, την οποία ασκεί από κοινού με την μητέρα. Αν οι γονείς δεν ζουν μαζί, εφαρμόζονται αναλόγως τα άρθρα 1513 και 1514 του Α.Κ..</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Σε περίπτωση δικαστικής αναγνώρισης, στην οποία αντιδίκησε ο πατέρας, αυτός δεν ασκεί γονική μέριμνα ούτε αναπληρώνει την μητέρα στην άσκησή της, εκτός αν υπάρχει συμφωνία των γονέων. Το δικαστήριο μπορεί, αν το επιβάλλει το συμφέρον του τέκνου, να αποφασίσει διαφορετικά ύστερα από αίτηση του πατέρα.</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10</w:t>
      </w:r>
    </w:p>
    <w:p>
      <w:pPr>
        <w:pStyle w:val="A"/>
        <w:tabs>
          <w:tab w:val="left" w:pos="3372"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Πράξεις από τον ένα γονέα – Τροποποίηση άρθρου 1516 ΑΚ</w:t>
      </w:r>
    </w:p>
    <w:p>
      <w:pPr>
        <w:pStyle w:val="A"/>
        <w:tabs>
          <w:tab w:val="left" w:pos="3372" w:leader="none"/>
        </w:tabs>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δεύτερο εδάφιο του άρθρου 1516 του Αστικού Κώδικα αντικαθίσταται και το άρθρο 1516 διαμορφώνεται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1516</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Πράξεις από τον ένα γονέα</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καθένας από τους γονείς επιχειρεί και μόνος του πράξεις αναφερόμενες στην άσκηση της γονικής μέριμνας: 1. Όταν πρόκειται για 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απευθυντέα προς το τέκνο.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Στις περιπτώσεις διακοπής της συμβίωσης των γονέων, διαζυγίου ή ακύρωσης του γάμου τους, καθώς και όταν πρόκειται για τέκνο γεννημένο χωρίς γάμο των γονέων του, κάθε ένας από τους γονείς μπορεί να ασκεί τις αξιώσεις διατροφής που έχει το τέκνο κατά του άλλου γονέα ή τρίτου.</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11</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Επιμέλεια του προσώπου – Προσθήκη παρ. 4 στο άρθρο 1518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Στο άρθρο 1518 του Αστικού Κώδικα προστίθεται παρ. 4 και το άρθρο 1518 διαμορφώνεται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1518</w:t>
        <w:tab/>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 xml:space="preserve">Επιμέλεια του προσώπου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Η επιμέλεια του προσώπου του τέκνου περιλαμβάνει ιδίως την ανατροφή, την επίβλεψη, την μόρφωση και την εκπαίδευσή του, καθώς και τον προσδιορισμό του τόπου διαμονής του.</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 εφόσον αυτά είναι παιδαγωγικώς αναγκαία και δεν θίγουν την αξιοπρέπεια του τέκνου.</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Κατά την μόρφωση και την επαγγελματική εκπαίδευση του τέκνου οι γονείς λαμβάνουν υπόψη τις ικανότητες και τις προσωπικές του κλίσεις. Γι’ αυτό τον σκοπό οφείλουν να συνεργάζονται με το σχολείο και αν υπάρχει ανάγκη, να ζητούν την συνδρομή αρμοδίων κρατικών υπηρεσιών ή δημοσίων οργανισμών.</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Κάθε γονέας υποχρεούται να διαφυλάσσει και να ενισχύει την σχέση του τέκνου με τον άλλο γονέα, τους αδελφούς του, καθώς και με την οικογένεια του άλλου γονέα, ιδίως όταν οι γονείς δεν ζουν μαζί ή ο άλλος γονέας έχει αποβιώσει.</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12</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Από κοινού άσκηση της επιμέλειας του τέκνου σε σημαντικά ζητήματα – Αντικατάσταση τίτλου και άρθρου 1519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τίτλος και το άρθρο 1519 του Αστικού Κώδικα αντικαθίστανται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1519</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Σημαντικά ζητήματα επιμέλειας τέκνου</w:t>
      </w:r>
    </w:p>
    <w:p>
      <w:pPr>
        <w:pStyle w:val="A"/>
        <w:spacing w:lineRule="auto" w:line="276" w:before="0" w:after="0"/>
        <w:jc w:val="both"/>
        <w:rPr>
          <w:rFonts w:ascii="Calibri" w:hAnsi="Calibri" w:eastAsia="Calibri" w:cs="Calibri"/>
          <w:b/>
          <w:b/>
          <w:bCs/>
          <w:color w:val="00000A"/>
          <w:sz w:val="22"/>
          <w:szCs w:val="22"/>
        </w:rPr>
      </w:pPr>
      <w:r>
        <w:rPr>
          <w:rFonts w:ascii="Calibri" w:hAnsi="Calibri"/>
          <w:color w:val="00000A"/>
          <w:sz w:val="22"/>
          <w:szCs w:val="22"/>
        </w:rPr>
        <w:t>Όταν η επιμέλεια ασκείται από τον ένα γονέα ή έχει γίνει κατανομή της μεταξύ των γονέων, οι αποφάσεις για την ονοματοδοσία του τέκνου, για το θρήσκευμα, για ζητήματα της υγείας του, εκτός από τα επείγοντα και τα εντελώς τρέχοντα, καθώς και για ζητήματα εκπαίδευσης που επιδρούν αποφασιστικά στο μέλλον του, λαμβάνονται και από τους δύο γονείς από κοινού. Οι διατάξεις της παρ. 3 του άρθρου 1510 και του άρθρου 1512 του Α.Κ. εφαρμόζονται και σε αυτή την περίπτωση.</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Για τη μεταβολή του τόπου διαμονής του τέκνου που επιδρά ουσιωδώς στο δικαίωμα επικοινωνίας του γονέα με τον οποίο δεν διαμένει το τέκνο, απαιτείται προηγούμενη έγγραφη συμφωνία των γονέων ή προηγούμενη δικαστική απόφαση που εκδίδεται μετά από αίτηση ενός από τους γονείς. Το δικαστήριο μπορεί να διατάξει κάθε πρόσφορο μέτρο.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 γονέας στον οποίο δεν έχει ανατεθεί η άσκηση της γονικής μέριμνας έχει το δικαίωμα να ζητά από τον άλλο πληροφορίες για το πρόσωπο και την περιουσία του τέκνου.</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Γ΄</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ΚΑΘΙΕΡΩΣΗ ΤΕΚΜΗΡΙΟΥ ΕΠΙΚΟΙΝΩΝΙΑΣ ΚΑΙ ΣΥΝΕΠΕΙΕΣ ΚΑΚΗΣ ΑΣΚΗΣΗΣ ΓΟΝΙΚΗΣ ΜΕΡΙΜΝΑΣ</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13</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Δικαίωμα επικοινωνίας – Αντικατάσταση  άρθρου 1520 ΑΚ</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1520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1520</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 xml:space="preserve">Προσωπική επικοινωνία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Ο γονέας με τον οποίο δεν διαμένει το τέκνο έχει το δικαίωμα και την υποχρέωση της, κατά το δυνατό, ευρύτερης επικοινωνίας με αυτό, στην οποία περιλαμβάνεται τόσο η φυσική παρουσία και επαφή αυτού με το τέκνο όσο και η διαμονή του τέκνου στην οικία του. Ο γονέας με τον οποίο διαμένει το τέκνο οφείλει να διευκολύνει και να προωθεί την επικοινωνία του τέκνου με τον άλλο γονέα σε καθημερινή βάση. Ο χρόνος επικοινωνίας του τέκνου με φυσική παρουσία με τον γονέα, με τον οποίο δεν διαμένει, τεκμαίρεται στο ένα τρίτο του συνολικού, εκτός αν ο γονέας αυτός ζητά μικρότερο χρόνο επικοινωνίας, ή για λόγους, που αφορούν στις συνθήκες διαβίωσης ή στο συμφέρον του τέκνου, επιβάλλεται να καθορισθεί μικρότερος ή μεγαλύτερος χρόνος επικοινωνίας, </w:t>
      </w:r>
      <w:r>
        <w:rPr>
          <w:rFonts w:ascii="Calibri" w:hAnsi="Calibri"/>
          <w:color w:val="00000A"/>
          <w:sz w:val="22"/>
          <w:szCs w:val="22"/>
          <w:u w:val="none" w:color="FF2600"/>
        </w:rPr>
        <w:t>εφόσον, σε κάθε περίπτωση, δεν διαταράσσεται η καθημερινότητα του τέκνου</w:t>
      </w:r>
      <w:r>
        <w:rPr>
          <w:rFonts w:ascii="Calibri" w:hAnsi="Calibri"/>
          <w:color w:val="00000A"/>
          <w:sz w:val="22"/>
          <w:szCs w:val="22"/>
        </w:rPr>
        <w:t xml:space="preserve">. Αποκλεισμός ή περιορισμός της επικοινωνίας είναι δυνατός μόνο για εξαιρετικά σοβαρούς λόγους, ιδίως όταν ο γονέας με τον οποίο δεν διαμένει το τέκνο έχει καταδικαστεί αμετάκλητα για ενδοοικογενειακή βία ή για εγκλήματα κατά της γενετήσιας ελευθερίας ή εγκλήματα οικονομικής εκμετάλλευσης της γενετήσιας ζωής.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Οι γονείς δεν έχουν το δικαίωμα να εμποδίζουν την επικοινωνία του τέκνου με τους ανώτερους ανιόντες και τους αδελφούς του, εκτός αν συντρέχει σπουδαίος λόγος. Οι γονείς δεν έχουν το δικαίωμα να εμποδίζουν την επικοινωνία του τέκνου με τρίτους που έχουν αναπτύξει μαζί του κοινωνικοσυναισθηματική σχέση οικογενειακής φύσης, εφόσον με την επικοινωνία εξυπηρετείται το συμφέρον του τέκνου.</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Τα σχετικά με την επικοινωνία καθορίζονται ειδικότερα είτε με έγγραφη συμφωνία των γονέων είτε από το δικαστήριο. Στην περίπτωση αυτή εφαρμόζεται και η διάταξη της παρ. 4 του άρθρου 1511. Όταν συντρέχει περίπτωση κακής ή καταχρηστικής άσκησης του δικαιώματος επικοινωνίας, ο άλλος γονέας ή κάθε ένας από τους γονείς, αν πρόκειται για επικοινωνία με τρίτο, μπορεί να ζητήσει από το δικαστήριο τη μεταρρύθμιση της επικοινωνίας.</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ind w:left="360" w:hanging="0"/>
        <w:jc w:val="both"/>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14</w:t>
      </w:r>
    </w:p>
    <w:p>
      <w:pPr>
        <w:pStyle w:val="A"/>
        <w:spacing w:lineRule="auto" w:line="276" w:before="0" w:after="0"/>
        <w:ind w:left="360" w:hanging="0"/>
        <w:jc w:val="center"/>
        <w:rPr>
          <w:rFonts w:ascii="Calibri" w:hAnsi="Calibri" w:eastAsia="Calibri" w:cs="Calibri"/>
          <w:b/>
          <w:b/>
          <w:bCs/>
          <w:color w:val="00000A"/>
          <w:sz w:val="22"/>
          <w:szCs w:val="22"/>
        </w:rPr>
      </w:pPr>
      <w:r>
        <w:rPr>
          <w:rFonts w:ascii="Calibri" w:hAnsi="Calibri"/>
          <w:b/>
          <w:bCs/>
          <w:color w:val="00000A"/>
          <w:sz w:val="22"/>
          <w:szCs w:val="22"/>
        </w:rPr>
        <w:t>Συνέπειες κακής άσκησης – Αντικατάσταση άρθρου 1532 ΑΚ</w:t>
      </w:r>
    </w:p>
    <w:p>
      <w:pPr>
        <w:pStyle w:val="A"/>
        <w:spacing w:lineRule="auto" w:line="276" w:before="0" w:after="0"/>
        <w:ind w:left="360" w:hanging="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1532 του Αστικού Κώδικα αντικαθίσταται ως εξής:</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«Άρθρο 1532</w:t>
      </w:r>
    </w:p>
    <w:p>
      <w:pPr>
        <w:pStyle w:val="A"/>
        <w:spacing w:lineRule="auto" w:line="276" w:before="0" w:after="0"/>
        <w:jc w:val="center"/>
        <w:rPr>
          <w:rFonts w:ascii="Calibri" w:hAnsi="Calibri" w:eastAsia="Calibri" w:cs="Calibri"/>
          <w:color w:val="00000A"/>
          <w:sz w:val="22"/>
          <w:szCs w:val="22"/>
        </w:rPr>
      </w:pPr>
      <w:r>
        <w:rPr>
          <w:rFonts w:ascii="Calibri" w:hAnsi="Calibri"/>
          <w:color w:val="00000A"/>
          <w:sz w:val="22"/>
          <w:szCs w:val="22"/>
        </w:rPr>
        <w:t>Συνέπειες κακής άσκησης</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Αν ο πατέρας ή η μητέρα παραβαίνουν τα καθήκοντα που τους επιβάλλει το λειτούργημά τους για την επιμέλεια του προσώπου του τέκνου ή τη διοίκηση της περιουσίας του ή αν ασκούν το λειτούργημα αυτό καταχρηστικά ή δεν είναι σε θέση να ανταποκριθούν σε αυτό, το δικαστήριο μπορεί, εφόσον το ζητήσουν ο άλλος γονέας ή οι πλησιέστεροι συγγενείς του τέκνου ή ο εισαγγελέας, να διατάξει οποιοδήποτε πρόσφορο μέτρο.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Κακή άσκηση της γονικής μέριμνας συνιστούν ιδίως: 1. η υπαίτια μη συμμόρφωση προς αποφάσεις και διατάξεις δικαστικών και εισαγγελικών αρχών που αφορούν το τέκνο ή προς την τυχόν υπάρχουσα συμφωνία των γονέων για την άσκηση της γονικής μέριμνας, 2. η διατάραξη της συναισθηματικής σχέσης του τέκνου με τον άλλο γονέα και την οικογένειά του και η με κάθε τρόπο πρόκληση διάρρηξης των σχέσεων του τέκνου με αυτούς, 3. η υπαίτια παράβαση των όρων της συμφωνίας των γονέων ή της δικαστικής απόφασης για την επικοινωνία του τέκνου με τον γονέα με τον οποίο δεν διαμένει και η με κάθε άλλο τρόπο παρεμπόδιση της επικοινωνίας, 4. η κακή άσκηση και η υπαίτια παράλειψη της άσκησης του δικαιώματος επικοινωνίας από τον δικαιούχο γονέα, 5. η αδικαιολόγητη άρνηση του γονέα να καταβάλλει τη διατροφή που επιδικάστηκε στο τέκνο από το δικαστήριο ή συμφωνήθηκε μεταξύ των γονέων, 6. η αμετάκλητη καταδίκη του γονέα για ενδοοικογενειακή βία ή για εγκλήματα κατά της γενετήσιας ελευθερίας ή εγκλήματα οικονομικής εκμετάλλευσης της γενετήσιας ζωής.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δικαστήριο, στις περιπτώσεις της προηγούμενης παραγράφου, δύναται να αφαιρέσει από τον υπαίτιο γονέα την άσκηση της γονικής μέριμνας ή την επιμέλεια ολικά ή μερικά και να την αναθέσει αποκλειστικά στον άλλο γονέα, καθώς επίσης να διατάξει κάθε πρόσφορο μέτρο προς διασφάλιση του συμφέροντος του τέκνου. Εφόσον συντρέχουν στο πρόσωπο και των δύο γονέων οι προϋποθέσεις της παρ. 2, το δικαστήριο μπορεί να αναθέσει την πραγματική φροντίδα του τέκνου ή ακόμα και την επιμέλειά του ολικά ή μερικά σε τρίτο ή και να διορίσει επίτροπο.</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Σε εξαιρετικά επείγουσες περιπτώσεις, εφόσον συντρέχουν οι προϋποθέσεις της παρ</w:t>
      </w:r>
      <w:r>
        <w:rPr>
          <w:rFonts w:ascii="Calibri" w:hAnsi="Calibri"/>
          <w:color w:val="00000A"/>
          <w:sz w:val="22"/>
          <w:szCs w:val="22"/>
          <w:lang w:val="ru-RU"/>
        </w:rPr>
        <w:t xml:space="preserve">. 1 </w:t>
      </w:r>
      <w:r>
        <w:rPr>
          <w:rFonts w:ascii="Calibri" w:hAnsi="Calibri"/>
          <w:color w:val="00000A"/>
          <w:sz w:val="22"/>
          <w:szCs w:val="22"/>
        </w:rPr>
        <w:t>και επίκειται άμεσος κίνδυνος για τη σωματική ή τη ψυχική υγεία του τέκνου, ο εισαγγελέας διατάσσει κάθε πρόσφορο μέτρο για την προστασία του, μέχρι την έκδοση της απόφασης του δικαστηρίου, στο οποίο πρέπει να απευθύνεται εντός ενενήντα ημερών, με δυνατότητα αιτιολογημένης παράτασης κατά ενενήντα επιπλέον ημέρες.</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Δ΄</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ΔΙΑΜΕΣΟΛΑΒΗΣΗ ΚΑΙ ΕΠΙΜΟΡΦΩΣΗ ΔΙΚΑΣΤΩΝ</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tabs>
          <w:tab w:val="center" w:pos="4153" w:leader="none"/>
          <w:tab w:val="left" w:pos="4986"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15</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Ορισμός διαμεσολαβητών</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Ο ορισμός διαμεσολαβητή από το δικαστήριο σύμφωνα με την περ. δ’ της παρ. 3 του άρθρου 1514 του Αστικού Κώδικα, γίνεται από ειδικό μητρώο οικογενειακών διαμεσολαβητών, το οποίο καταρτίζεται και τηρείται σε ηλεκτρονική μορφή από την Κεντρική Επιτροπή Διαμεσολάβησης, όπως ειδικότερα προβλέπεται στο άρθρο 21 του παρόντος. </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16</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Έκτακτα προγράμματα επιμόρφωσης στην Εθνική Σχολή Δικαστικών Λειτουργών</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Στο άρθρο 33 του ν. 3689/2008 «Εθνική Σχολή Δικαστικών Λειτουργών και άλλες διατάξεις» (Α΄164), όπως ισχύει, προστίθεται παρ. 4 ως εξής: </w:t>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«Η Εθνική Σχολή Δικαστικών Λειτουργών διοργανώνει έκτακτα προγράμματα επιμόρφωσης δικαστικών και εισαγγελικών λειτουργών κατά παρέκκλιση των οριζομένων στις ανωτέρω παραγράφους του άρθρου αυτού, καθώς και των άρθρων </w:t>
      </w:r>
      <w:r>
        <w:rPr>
          <w:rFonts w:ascii="Calibri" w:hAnsi="Calibri"/>
          <w:color w:val="00000A"/>
          <w:sz w:val="22"/>
          <w:szCs w:val="22"/>
          <w:lang w:val="ru-RU"/>
        </w:rPr>
        <w:t xml:space="preserve">37 </w:t>
      </w:r>
      <w:r>
        <w:rPr>
          <w:rFonts w:ascii="Calibri" w:hAnsi="Calibri"/>
          <w:color w:val="00000A"/>
          <w:sz w:val="22"/>
          <w:szCs w:val="22"/>
        </w:rPr>
        <w:t xml:space="preserve">και 39 του ν. 3689/2008, όπως ισχύει, σε περίπτωση κατά την οποία διατάξεις τυπικού νόμου περιέχουν ρυθμίσεις, οι οποίες, κατά το περιεχόμενό τους, είναι άμεσα εφαρμοστέες από τα Δικαστήρια. Η σχετική απόφαση λαμβάνεται από τον Γενικό Διευθυντή της ΕΣΔΙ ύστερα από γνώμη του αρμόδιου Διευθυντή Κατάρτισης και Επιμόρφωσης </w:t>
      </w:r>
      <w:r>
        <w:rPr>
          <w:rFonts w:ascii="Calibri" w:hAnsi="Calibri"/>
          <w:color w:val="00000A"/>
          <w:sz w:val="22"/>
          <w:szCs w:val="22"/>
          <w:u w:val="none" w:color="FF2600"/>
        </w:rPr>
        <w:t>ή του νόμιμου αναπληρωτή του</w:t>
      </w:r>
      <w:r>
        <w:rPr>
          <w:rFonts w:ascii="Calibri" w:hAnsi="Calibri"/>
          <w:color w:val="00000A"/>
          <w:sz w:val="22"/>
          <w:szCs w:val="22"/>
        </w:rPr>
        <w:t>. Ο τελευταίος έχει την αποκλειστική ευθύνη της διαμόρφωσης και εκτέλεσης των ανωτέρω προγραμμάτων επιμόρφωσης, τα οποία, πάντως, πρέπει να περιλαμβάνουν τη συμμετοχή σε ομάδες εργασίας (</w:t>
      </w:r>
      <w:r>
        <w:rPr>
          <w:rFonts w:ascii="Calibri" w:hAnsi="Calibri"/>
          <w:color w:val="00000A"/>
          <w:sz w:val="22"/>
          <w:szCs w:val="22"/>
          <w:lang w:val="en-US"/>
        </w:rPr>
        <w:t>workshops</w:t>
      </w:r>
      <w:r>
        <w:rPr>
          <w:rFonts w:ascii="Calibri" w:hAnsi="Calibri"/>
          <w:color w:val="00000A"/>
          <w:sz w:val="22"/>
          <w:szCs w:val="22"/>
        </w:rPr>
        <w:t xml:space="preserve">), όσων έχουν επιλεγεί για να επιμορφωθούν, το ευδόκιμο της συμμετοχής των οποίων βεβαιώνεται με έγγραφο που χορηγείται από τον αρμόδιο Διευθυντή Κατάρτισης και Επιμόρφωσης </w:t>
      </w:r>
      <w:r>
        <w:rPr>
          <w:rFonts w:ascii="Calibri" w:hAnsi="Calibri"/>
          <w:color w:val="00000A"/>
          <w:sz w:val="22"/>
          <w:szCs w:val="22"/>
          <w:u w:val="none" w:color="FF2600"/>
        </w:rPr>
        <w:t xml:space="preserve">ή τον νόμιμο αναπληρωτή του </w:t>
      </w:r>
      <w:r>
        <w:rPr>
          <w:rFonts w:ascii="Calibri" w:hAnsi="Calibri"/>
          <w:color w:val="00000A"/>
          <w:sz w:val="22"/>
          <w:szCs w:val="22"/>
        </w:rPr>
        <w:t>ύστερα από απόφαση του Προέδρου κάθε ομάδας εργασίας. Το προσωπικό υποστήριξης των ανωτέρω επιμορφωτικών προγραμμάτων επιλέγεται από τους υπαλλήλους της Σχολής. Τα έκτακτα προγράμματα επιμόρφωσης διεξάγονται με φυσική παρουσία στην έδρα της Σχολής και ειδικότερα σε χώρους της Εθνικής Σχολής Δικαστικών Λειτουργών και του Κέντρου Διεθνούς και Ευρωπαϊκού και Οικονομικού Δικαίου. Σε περίπτωση κατά την οποία δεν είναι δυνατή η διεξαγωγή τους με φυσική παρουσία, διενεργούνται μέσω διαδικτυακής εφαρμογής (</w:t>
      </w:r>
      <w:r>
        <w:rPr>
          <w:rFonts w:ascii="Calibri" w:hAnsi="Calibri"/>
          <w:color w:val="00000A"/>
          <w:sz w:val="22"/>
          <w:szCs w:val="22"/>
          <w:lang w:val="en-US"/>
        </w:rPr>
        <w:t>webinars</w:t>
      </w:r>
      <w:r>
        <w:rPr>
          <w:rFonts w:ascii="Calibri" w:hAnsi="Calibri"/>
          <w:color w:val="00000A"/>
          <w:sz w:val="22"/>
          <w:szCs w:val="22"/>
        </w:rPr>
        <w:t xml:space="preserve">).  Στις διατάξεις του άρθρου </w:t>
      </w:r>
      <w:r>
        <w:rPr>
          <w:rFonts w:ascii="Calibri" w:hAnsi="Calibri"/>
          <w:color w:val="00000A"/>
          <w:sz w:val="22"/>
          <w:szCs w:val="22"/>
          <w:lang w:val="ru-RU"/>
        </w:rPr>
        <w:t xml:space="preserve">34 </w:t>
      </w:r>
      <w:r>
        <w:rPr>
          <w:rFonts w:ascii="Calibri" w:hAnsi="Calibri"/>
          <w:color w:val="00000A"/>
          <w:sz w:val="22"/>
          <w:szCs w:val="22"/>
        </w:rPr>
        <w:t>του ν. 3689/2008, όπως ισχύει, περιλαμβάνονται και τα έκτακτα προγράμματα επιμόρφωσης, στα οποία είναι εφαρμοστέες και οι διατάξεις των άρθρων 35, 36, 38 και 40 του ν. 3689/2008, όπως ισχύει.</w:t>
      </w:r>
      <w:r>
        <w:rPr>
          <w:rFonts w:ascii="Calibri" w:hAnsi="Calibri"/>
          <w:color w:val="00000A"/>
          <w:sz w:val="22"/>
          <w:szCs w:val="22"/>
          <w:lang w:val="it-IT"/>
        </w:rPr>
        <w:t>»</w:t>
      </w:r>
      <w:r>
        <w:rPr>
          <w:rFonts w:ascii="Calibri" w:hAnsi="Calibri"/>
          <w:color w:val="00000A"/>
          <w:sz w:val="22"/>
          <w:szCs w:val="22"/>
        </w:rPr>
        <w:t>.</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17</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Επιμόρφωση δικαστών</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Οι  υποθέσεις του παρόντος νόμου εκδικάζονται από δικαστές, που έχουν παρακολουθήσει επιτυχώς τα προβλεπόμενα από τα άρθρα 33 και 34 του ν. 3689/2008 ειδικά σεμινάρια επιμόρφωσης στην Εθνική Σχολή Δικαστικών Λειτουργών. Η διενέργεια των σεμιναρίων του εδαφίου α’ του παρόντος δύναται να χρηματοδοτείται από το Υπουργείο Δικαιοσύνης. Οι ειδικότεροι όροι και οι προϋποθέσεις της χρηματοδότησης καθορίζονται με κοινή απόφαση των Υπουργών Οικονομικών και Δικαιοσύνης. Η ως άνω επιμόρφωση θα διενεργείται ιδίως από δικαστικούς λειτουργούς, καθηγητές ανωτάτων εκπαιδευτικών ιδρυμάτων, παιδοψυχολόγους και κοινωνικούς λειτουργούς. </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Ε</w:t>
      </w:r>
      <w:r>
        <w:rPr>
          <w:rFonts w:ascii="Arial Unicode MS" w:hAnsi="Arial Unicode MS"/>
          <w:color w:val="00000A"/>
          <w:sz w:val="22"/>
          <w:szCs w:val="22"/>
          <w:lang w:val="ar-SA"/>
        </w:rPr>
        <w:t>’</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ΜΕΤΑΒΑΤΙΚΕΣ ΔΙΑΤΑΞΕΙΣ</w:t>
      </w:r>
    </w:p>
    <w:p>
      <w:pPr>
        <w:pStyle w:val="A"/>
        <w:tabs>
          <w:tab w:val="center" w:pos="4333" w:leader="none"/>
        </w:tabs>
        <w:spacing w:lineRule="auto" w:line="276" w:before="0" w:after="0"/>
        <w:ind w:left="360" w:hanging="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center"/>
        <w:rPr>
          <w:rFonts w:ascii="Calibri" w:hAnsi="Calibri" w:eastAsia="Calibri" w:cs="Calibri"/>
          <w:color w:val="00000A"/>
          <w:sz w:val="22"/>
          <w:szCs w:val="22"/>
        </w:rPr>
      </w:pPr>
      <w:r>
        <w:rPr>
          <w:rFonts w:ascii="Calibri" w:hAnsi="Calibri"/>
          <w:b/>
          <w:bCs/>
          <w:color w:val="00000A"/>
          <w:sz w:val="22"/>
          <w:szCs w:val="22"/>
        </w:rPr>
        <w:t>Άρθρο 18</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Εφαρμογή των διατάξεων των Κεφαλαίων Β’</w:t>
      </w:r>
      <w:r>
        <w:rPr>
          <w:rFonts w:ascii="Arial Unicode MS" w:hAnsi="Arial Unicode MS"/>
          <w:color w:val="00000A"/>
          <w:sz w:val="22"/>
          <w:szCs w:val="22"/>
          <w:lang w:val="ar-SA"/>
        </w:rPr>
        <w:t xml:space="preserve"> </w:t>
      </w:r>
      <w:r>
        <w:rPr>
          <w:rFonts w:ascii="Calibri" w:hAnsi="Calibri"/>
          <w:b/>
          <w:bCs/>
          <w:color w:val="00000A"/>
          <w:sz w:val="22"/>
          <w:szCs w:val="22"/>
        </w:rPr>
        <w:t>και Γ΄ σε εκκρεμείς υποθέσεις</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Οι διατάξεις των Κεφαλαίων Β</w:t>
      </w:r>
      <w:r>
        <w:rPr>
          <w:rFonts w:ascii="Arial Unicode MS" w:hAnsi="Arial Unicode MS"/>
          <w:color w:val="00000A"/>
          <w:sz w:val="22"/>
          <w:szCs w:val="22"/>
          <w:lang w:val="ar-SA"/>
        </w:rPr>
        <w:t xml:space="preserve">’ </w:t>
      </w:r>
      <w:r>
        <w:rPr>
          <w:rFonts w:ascii="Calibri" w:hAnsi="Calibri"/>
          <w:color w:val="00000A"/>
          <w:sz w:val="22"/>
          <w:szCs w:val="22"/>
        </w:rPr>
        <w:t>και Γ΄ εφαρμόζονται και στις εκκρεμείς υποθέσεις επί των οποίων δεν έχει εκδοθεί, μέχρι την έναρξη ισχύος του παρόντος, αμετάκλητη δικαστική απόφαση. Συμφωνίες των γονέων σχετικά με την άσκηση της γονικής μέριμνας, ή την επικοινωνία με το τέκνο που έχουν καταρτιστεί μέχρι την έναρξη ισχύος των Κεφαλαίων Β</w:t>
      </w:r>
      <w:r>
        <w:rPr>
          <w:rFonts w:ascii="Arial Unicode MS" w:hAnsi="Arial Unicode MS"/>
          <w:color w:val="00000A"/>
          <w:sz w:val="22"/>
          <w:szCs w:val="22"/>
          <w:lang w:val="ar-SA"/>
        </w:rPr>
        <w:t xml:space="preserve">’ </w:t>
      </w:r>
      <w:r>
        <w:rPr>
          <w:rFonts w:ascii="Calibri" w:hAnsi="Calibri"/>
          <w:color w:val="00000A"/>
          <w:sz w:val="22"/>
          <w:szCs w:val="22"/>
        </w:rPr>
        <w:t>και Γ΄ εξακολουθούν να ισχύουν, εκτός αν το δικαστήριο προβεί σε διαφορετική ρύθμιση, ύστερα από αίτηση ενός εκ των γονέων, η οποία θα ασκηθεί εντός προθεσμίας δύο (2) ετών από την έναρξη ισχύος του παρόντος.</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19</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Μεταβατική διάταξη για τα τέκνα που αναγνωρίστηκαν πριν από την έναρξη ισχύος του παρόντος</w:t>
      </w:r>
    </w:p>
    <w:p>
      <w:pPr>
        <w:pStyle w:val="A"/>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Το άρθρο 1515 του Αστικού Κώδικα εφαρμόζεται και σε τέκνα που αναγνωρίστηκαν πριν από την έναρξη ισχύος του παρόντος. Το δεύτερο εδάφιο του άρθρου 18 του παρόντος εφαρμόζεται αναλόγως.</w:t>
      </w:r>
    </w:p>
    <w:p>
      <w:pPr>
        <w:pStyle w:val="A"/>
        <w:spacing w:lineRule="auto" w:line="276" w:before="0" w:after="200"/>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ΣΤ</w:t>
      </w:r>
      <w:r>
        <w:rPr>
          <w:rFonts w:ascii="Arial Unicode MS" w:hAnsi="Arial Unicode MS"/>
          <w:color w:val="00000A"/>
          <w:sz w:val="22"/>
          <w:szCs w:val="22"/>
          <w:lang w:val="ar-SA"/>
        </w:rPr>
        <w:t>'</w:t>
      </w:r>
    </w:p>
    <w:p>
      <w:pPr>
        <w:pStyle w:val="A"/>
        <w:spacing w:lineRule="auto" w:line="276" w:before="0" w:after="0"/>
        <w:ind w:left="360" w:hanging="0"/>
        <w:jc w:val="center"/>
        <w:rPr>
          <w:rFonts w:ascii="Calibri" w:hAnsi="Calibri" w:eastAsia="Calibri" w:cs="Calibri"/>
          <w:b/>
          <w:b/>
          <w:bCs/>
          <w:color w:val="00000A"/>
          <w:sz w:val="22"/>
          <w:szCs w:val="22"/>
        </w:rPr>
      </w:pPr>
      <w:r>
        <w:rPr>
          <w:rFonts w:ascii="Calibri" w:hAnsi="Calibri"/>
          <w:b/>
          <w:bCs/>
          <w:color w:val="00000A"/>
          <w:sz w:val="22"/>
          <w:szCs w:val="22"/>
        </w:rPr>
        <w:t xml:space="preserve">ΕΞΟΥΣΙΟΔΟΤΙΚΕΣ ΔΙΑΤΑΞΕΙΣ </w:t>
      </w:r>
    </w:p>
    <w:p>
      <w:pPr>
        <w:pStyle w:val="A"/>
        <w:spacing w:lineRule="auto" w:line="276" w:before="0" w:after="0"/>
        <w:ind w:left="360" w:hanging="0"/>
        <w:jc w:val="center"/>
        <w:rPr>
          <w:rFonts w:ascii="Calibri" w:hAnsi="Calibri" w:eastAsia="Calibri" w:cs="Calibri"/>
          <w:color w:val="00000A"/>
          <w:sz w:val="22"/>
          <w:szCs w:val="22"/>
        </w:rPr>
      </w:pPr>
      <w:r>
        <w:rPr>
          <w:rFonts w:eastAsia="Calibri" w:cs="Calibri" w:ascii="Calibri" w:hAnsi="Calibri"/>
          <w:color w:val="00000A"/>
          <w:sz w:val="22"/>
          <w:szCs w:val="22"/>
        </w:rPr>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20</w:t>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Εξουσιοδοτική διάταξη για την συμφωνία λύσης του γάμου με ηλεκτρονικά μέσα</w:t>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tabs>
          <w:tab w:val="left" w:pos="1296" w:leader="none"/>
        </w:tabs>
        <w:spacing w:lineRule="auto" w:line="276" w:before="0" w:after="0"/>
        <w:jc w:val="both"/>
        <w:rPr>
          <w:rFonts w:ascii="Calibri" w:hAnsi="Calibri" w:eastAsia="Calibri" w:cs="Calibri"/>
          <w:color w:val="00000A"/>
          <w:sz w:val="22"/>
          <w:szCs w:val="22"/>
        </w:rPr>
      </w:pPr>
      <w:r>
        <w:rPr>
          <w:rFonts w:ascii="Calibri" w:hAnsi="Calibri"/>
          <w:color w:val="00000A"/>
          <w:sz w:val="22"/>
          <w:szCs w:val="22"/>
        </w:rPr>
        <w:t>Με κοινή απόφαση των Υπουργών Δικαιοσύνης και Ψηφιακής Διακυβέρνησης ορίζονται τα ειδικότερα ζητήματα που αφορούν την υλοποίηση της διαδικασίας της παρ</w:t>
      </w:r>
      <w:r>
        <w:rPr>
          <w:rFonts w:ascii="Calibri" w:hAnsi="Calibri"/>
          <w:color w:val="00000A"/>
          <w:sz w:val="22"/>
          <w:szCs w:val="22"/>
          <w:lang w:val="ru-RU"/>
        </w:rPr>
        <w:t xml:space="preserve">. 1 </w:t>
      </w:r>
      <w:r>
        <w:rPr>
          <w:rFonts w:ascii="Calibri" w:hAnsi="Calibri"/>
          <w:color w:val="00000A"/>
          <w:sz w:val="22"/>
          <w:szCs w:val="22"/>
        </w:rPr>
        <w:t xml:space="preserve">του άρθρου 4 του παρόντος. </w:t>
      </w:r>
    </w:p>
    <w:p>
      <w:pPr>
        <w:pStyle w:val="A"/>
        <w:tabs>
          <w:tab w:val="left" w:pos="1296" w:leader="none"/>
        </w:tabs>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21</w:t>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 xml:space="preserve">Εξουσιοδοτική διάταξη για τη διαμεσολάβηση </w:t>
      </w:r>
    </w:p>
    <w:p>
      <w:pPr>
        <w:pStyle w:val="A"/>
        <w:tabs>
          <w:tab w:val="left" w:pos="1296" w:leader="none"/>
        </w:tabs>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 xml:space="preserve">Με απόφαση του Υπουργού Δικαιοσύνης ορίζονται οι προϋποθέσεις και η διαδικασία εγγραφής οικογενειακών διαμεσολαβητών στο μητρώο του άρθρου 15, καθώς και κάθε άλλο θέμα σχετικά με την κατάρτιση του μητρώου. </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22</w:t>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Εξουσιοδοτική διάταξη για τη χρηματοδότηση επιμορφωτικών σεμιναρίων του άρθρου 16</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both"/>
        <w:rPr>
          <w:rFonts w:ascii="Calibri" w:hAnsi="Calibri" w:eastAsia="Calibri" w:cs="Calibri"/>
          <w:color w:val="00000A"/>
          <w:sz w:val="22"/>
          <w:szCs w:val="22"/>
        </w:rPr>
      </w:pPr>
      <w:r>
        <w:rPr>
          <w:rFonts w:ascii="Calibri" w:hAnsi="Calibri"/>
          <w:color w:val="00000A"/>
          <w:sz w:val="22"/>
          <w:szCs w:val="22"/>
        </w:rPr>
        <w:t>Οι ειδικότεροι όροι και οι προϋποθέσεις της χρηματοδότησης των επιμορφωτικών σεμιναρίων καθορίζονται με κοινή απόφαση των Υπουργών Οικονομικών και Δικαιοσύνης.</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ΚΕΦΑΛΑΙΟ Ζ΄</w:t>
      </w:r>
    </w:p>
    <w:p>
      <w:pPr>
        <w:pStyle w:val="A"/>
        <w:spacing w:lineRule="auto" w:line="276" w:before="0" w:after="0"/>
        <w:jc w:val="both"/>
        <w:rPr>
          <w:rFonts w:ascii="Calibri" w:hAnsi="Calibri" w:eastAsia="Calibri" w:cs="Calibri"/>
          <w:color w:val="00000A"/>
          <w:sz w:val="22"/>
          <w:szCs w:val="22"/>
        </w:rPr>
      </w:pPr>
      <w:r>
        <w:rPr>
          <w:rFonts w:eastAsia="Calibri" w:cs="Calibri" w:ascii="Calibri" w:hAnsi="Calibri"/>
          <w:color w:val="00000A"/>
          <w:sz w:val="22"/>
          <w:szCs w:val="22"/>
        </w:rPr>
      </w:r>
    </w:p>
    <w:p>
      <w:pPr>
        <w:pStyle w:val="A"/>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Άρθρο 23</w:t>
      </w:r>
    </w:p>
    <w:p>
      <w:pPr>
        <w:pStyle w:val="A"/>
        <w:widowControl w:val="false"/>
        <w:tabs>
          <w:tab w:val="left" w:pos="540" w:leader="none"/>
        </w:tabs>
        <w:suppressAutoHyphens w:val="true"/>
        <w:spacing w:lineRule="auto" w:line="276" w:before="0" w:after="0"/>
        <w:jc w:val="center"/>
        <w:rPr>
          <w:rFonts w:ascii="Calibri" w:hAnsi="Calibri" w:eastAsia="Calibri" w:cs="Calibri"/>
          <w:b/>
          <w:b/>
          <w:bCs/>
          <w:color w:val="00000A"/>
          <w:sz w:val="22"/>
          <w:szCs w:val="22"/>
        </w:rPr>
      </w:pPr>
      <w:r>
        <w:rPr>
          <w:rFonts w:ascii="Calibri" w:hAnsi="Calibri"/>
          <w:b/>
          <w:bCs/>
          <w:color w:val="00000A"/>
          <w:sz w:val="22"/>
          <w:szCs w:val="22"/>
        </w:rPr>
        <w:t>Έναρξη ισχύος</w:t>
      </w:r>
    </w:p>
    <w:p>
      <w:pPr>
        <w:pStyle w:val="A"/>
        <w:widowControl w:val="false"/>
        <w:tabs>
          <w:tab w:val="left" w:pos="540" w:leader="none"/>
        </w:tabs>
        <w:suppressAutoHyphens w:val="true"/>
        <w:spacing w:lineRule="auto" w:line="276" w:before="0" w:after="0"/>
        <w:jc w:val="center"/>
        <w:rPr>
          <w:rFonts w:ascii="Calibri" w:hAnsi="Calibri" w:eastAsia="Calibri" w:cs="Calibri"/>
          <w:b/>
          <w:b/>
          <w:bCs/>
          <w:color w:val="00000A"/>
          <w:sz w:val="22"/>
          <w:szCs w:val="22"/>
        </w:rPr>
      </w:pPr>
      <w:r>
        <w:rPr>
          <w:rFonts w:eastAsia="Calibri" w:cs="Calibri" w:ascii="Calibri" w:hAnsi="Calibri"/>
          <w:b/>
          <w:bCs/>
          <w:color w:val="00000A"/>
          <w:sz w:val="22"/>
          <w:szCs w:val="22"/>
        </w:rPr>
      </w:r>
    </w:p>
    <w:p>
      <w:pPr>
        <w:pStyle w:val="A"/>
        <w:widowControl w:val="false"/>
        <w:tabs>
          <w:tab w:val="left" w:pos="540" w:leader="none"/>
        </w:tabs>
        <w:suppressAutoHyphens w:val="true"/>
        <w:spacing w:lineRule="auto" w:line="276" w:before="0" w:after="0"/>
        <w:jc w:val="both"/>
        <w:rPr/>
      </w:pPr>
      <w:r>
        <w:rPr>
          <w:rFonts w:ascii="Calibri" w:hAnsi="Calibri"/>
          <w:color w:val="00000A"/>
          <w:sz w:val="22"/>
          <w:szCs w:val="22"/>
        </w:rPr>
        <w:t>Η ισχύς του παρόντος νόμου αρχίζει από τις 30.6.2021.</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Helvetica Neue">
    <w:charset w:val="a1"/>
    <w:family w:val="roman"/>
    <w:pitch w:val="variable"/>
  </w:font>
  <w:font w:name="Calibri">
    <w:charset w:val="a1"/>
    <w:family w:val="roman"/>
    <w:pitch w:val="variable"/>
  </w:font>
  <w:font w:name="Arial Unicode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Char" w:customStyle="1">
    <w:name w:val="Κείμενο πλαισίου Char"/>
    <w:basedOn w:val="DefaultParagraphFont"/>
    <w:link w:val="a5"/>
    <w:uiPriority w:val="99"/>
    <w:semiHidden/>
    <w:qFormat/>
    <w:rsid w:val="00ff7451"/>
    <w:rPr>
      <w:rFonts w:ascii="Tahoma" w:hAnsi="Tahoma" w:cs="Tahoma"/>
      <w:sz w:val="16"/>
      <w:szCs w:val="16"/>
      <w:lang w:val="en-US"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4" w:customStyle="1">
    <w:name w:val="Κεφαλίδα και υποσέλιδο"/>
    <w:qFormat/>
    <w:pPr>
      <w:widowControl/>
      <w:tabs>
        <w:tab w:val="right" w:pos="9020" w:leader="none"/>
      </w:tabs>
      <w:bidi w:val="0"/>
      <w:jc w:val="left"/>
    </w:pPr>
    <w:rPr>
      <w:rFonts w:ascii="Helvetica Neue" w:hAnsi="Helvetica Neue" w:cs="Arial Unicode MS" w:eastAsia="Arial Unicode MS"/>
      <w:color w:val="000000"/>
      <w:kern w:val="0"/>
      <w:sz w:val="24"/>
      <w:szCs w:val="24"/>
      <w:lang w:val="el-GR" w:eastAsia="el-GR" w:bidi="ar-SA"/>
      <w14:textOutline w14:w="0" w14:cap="flat" w14:cmpd="sng" w14:algn="ctr">
        <w14:noFill/>
        <w14:prstDash w14:val="solid"/>
        <w14:bevel/>
      </w14:textOutline>
    </w:rPr>
  </w:style>
  <w:style w:type="paragraph" w:styleId="A" w:customStyle="1">
    <w:name w:val="Προεπιλογή A"/>
    <w:qFormat/>
    <w:pPr>
      <w:widowControl/>
      <w:bidi w:val="0"/>
      <w:spacing w:before="160" w:after="0"/>
      <w:jc w:val="left"/>
    </w:pPr>
    <w:rPr>
      <w:rFonts w:ascii="Helvetica Neue" w:hAnsi="Helvetica Neue" w:cs="Arial Unicode MS" w:eastAsia="Arial Unicode MS"/>
      <w:color w:val="000000"/>
      <w:kern w:val="0"/>
      <w:sz w:val="24"/>
      <w:szCs w:val="24"/>
      <w:u w:val="none" w:color="000000"/>
      <w:lang w:val="el-GR" w:eastAsia="el-GR" w:bidi="ar-SA"/>
      <w14:textOutline w14:w="12700" w14:cap="flat" w14:cmpd="sng" w14:algn="ctr">
        <w14:noFill/>
        <w14:prstDash w14:val="solid"/>
        <w14:miter w14:lim="400000"/>
      </w14:textOutline>
    </w:rPr>
  </w:style>
  <w:style w:type="paragraph" w:styleId="BalloonText">
    <w:name w:val="Balloon Text"/>
    <w:basedOn w:val="Normal"/>
    <w:link w:val="Char"/>
    <w:uiPriority w:val="99"/>
    <w:semiHidden/>
    <w:unhideWhenUsed/>
    <w:qFormat/>
    <w:rsid w:val="00ff7451"/>
    <w:pPr/>
    <w:rPr>
      <w:rFonts w:ascii="Tahoma" w:hAnsi="Tahoma" w:cs="Tahoma"/>
      <w:sz w:val="16"/>
      <w:szCs w:val="16"/>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8CC1-1B51-4C54-A3F2-E43D4020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16</Pages>
  <Words>3699</Words>
  <Characters>23683</Characters>
  <CharactersWithSpaces>27217</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2021-03-11T08:50:00Z</dcterms:created>
  <dc:creator>Minister's Consultant 03</dc:creator>
  <dc:description/>
  <dc:language>en-US</dc:language>
  <cp:lastModifiedBy>User</cp:lastModifiedBy>
  <cp:lastPrinted>2021-02-17T11:57:00Z</cp:lastPrinted>
  <dcterms:modified xsi:type="dcterms:W3CDTF">2021-03-11T08:50:00Z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